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/>
      </w:pPr>
      <w:r>
        <w:drawing>
          <wp:inline xmlns:a="http://schemas.openxmlformats.org/drawingml/2006/main" xmlns:pic="http://schemas.openxmlformats.org/drawingml/2006/picture">
            <wp:extent cx="658368" cy="6583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hinktofinish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368" cy="658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0"/>
      </w:pPr>
      <w:r>
        <w:rPr>
          <w:rFonts w:ascii="Sarabun" w:hAnsi="Sarabun" w:cs="Sarabun" w:eastAsia="Sarabun"/>
          <w:b/>
          <w:i w:val="0"/>
          <w:color w:val="B59150"/>
          <w:sz w:val="18"/>
          <w:cs/>
        </w:rPr>
        <w:t>THINKTOFINISH  /  FREE RESOURCE</w:t>
      </w:r>
    </w:p>
    <w:p>
      <w:pPr>
        <w:spacing w:before="0" w:after="0"/>
      </w:pPr>
      <w:r>
        <w:rPr>
          <w:rFonts w:ascii="Sarabun" w:hAnsi="Sarabun" w:cs="Sarabun" w:eastAsia="Sarabun"/>
          <w:b/>
          <w:i w:val="0"/>
          <w:color w:val="10233C"/>
          <w:sz w:val="62"/>
          <w:cs/>
        </w:rPr>
        <w:t>นโยบายการใช้</w:t>
      </w:r>
    </w:p>
    <w:p>
      <w:pPr>
        <w:spacing w:before="0" w:after="0"/>
      </w:pPr>
      <w:r>
        <w:rPr>
          <w:rFonts w:ascii="Sarabun" w:hAnsi="Sarabun" w:cs="Sarabun" w:eastAsia="Sarabun"/>
          <w:b/>
          <w:i w:val="0"/>
          <w:color w:val="B59150"/>
          <w:sz w:val="74"/>
          <w:cs/>
        </w:rPr>
        <w:t>Generative AI</w:t>
      </w:r>
    </w:p>
    <w:p>
      <w:pPr>
        <w:spacing w:before="0" w:after="300"/>
      </w:pPr>
      <w:r>
        <w:rPr>
          <w:rFonts w:ascii="Sarabun" w:hAnsi="Sarabun" w:cs="Sarabun" w:eastAsia="Sarabun"/>
          <w:b/>
          <w:i w:val="0"/>
          <w:color w:val="10233C"/>
          <w:sz w:val="62"/>
          <w:cs/>
        </w:rPr>
        <w:t>อย่างรับผิดชอบ</w:t>
      </w:r>
    </w:p>
    <w:p>
      <w:pPr>
        <w:spacing w:before="0" w:after="480"/>
      </w:pPr>
      <w:r>
        <w:rPr>
          <w:rFonts w:ascii="Sarabun" w:hAnsi="Sarabun" w:cs="Sarabun" w:eastAsia="Sarabun"/>
          <w:b w:val="0"/>
          <w:i w:val="0"/>
          <w:color w:val="536071"/>
          <w:sz w:val="30"/>
          <w:cs/>
        </w:rPr>
        <w:t>แม่แบบสำหรับองค์กรในประเทศไทย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21"/>
      </w:tblGrid>
      <w:tr>
        <w:tc>
          <w:tcPr>
            <w:tcW w:type="dxa" w:w="9721"/>
            <w:shd w:fill="10233C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28"/>
                <w:cs/>
              </w:rPr>
              <w:t>ใช้งานได้ทันที</w:t>
            </w:r>
          </w:p>
          <w:p>
            <w:r>
              <w:rPr>
                <w:rFonts w:ascii="Sarabun" w:hAnsi="Sarabun" w:cs="Sarabun" w:eastAsia="Sarabun"/>
                <w:b w:val="0"/>
                <w:i w:val="0"/>
                <w:color w:val="FFFFFF"/>
                <w:sz w:val="20"/>
                <w:cs/>
              </w:rPr>
              <w:t>ปรับข้อความใน [วงเล็บ] ให้ตรงกับองค์กรก่อนประกาศใช้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DEC491"/>
                <w:sz w:val="17"/>
                <w:cs/>
              </w:rPr>
              <w:t>เวอร์ชัน 1.0  •  17 กันยายน 2569  •  เอกสารเผยแพร่ฟรี</w:t>
            </w:r>
          </w:p>
        </w:tc>
      </w:tr>
    </w:tbl>
    <w:p>
      <w:pPr>
        <w:spacing w:before="480" w:after="0"/>
      </w:pPr>
      <w:r>
        <w:rPr>
          <w:rFonts w:ascii="Sarabun" w:hAnsi="Sarabun" w:cs="Sarabun" w:eastAsia="Sarabun"/>
          <w:b w:val="0"/>
          <w:i w:val="0"/>
          <w:color w:val="536071"/>
          <w:sz w:val="16"/>
          <w:cs/>
        </w:rPr>
        <w:t>จัดทำใหม่เพื่อบริบทองค์กรไทย โดยสังเคราะห์ประเด็นจากตัวอย่างนโยบายของ Fisher Phillips แนวทางของ ETDA และกฎหมายไทยที่เกี่ยวข้อง เอกสารนี้ไม่ใช่คำแปลอย่างเป็นทางการและไม่ใช่คำปรึกษากฎหมาย</w:t>
      </w:r>
    </w:p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00 / START HERE</w:t>
      </w:r>
    </w:p>
    <w:p>
      <w:pPr>
        <w:spacing w:after="18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ก่อนนำแม่แบบนี้ไปประกาศใช้</w:t>
      </w:r>
    </w:p>
    <w:p>
      <w:pPr>
        <w:spacing w:before="0" w:after="200"/>
        <w:keepNext/>
      </w:pPr>
      <w:r>
        <w:rPr>
          <w:rFonts w:ascii="Sarabun" w:hAnsi="Sarabun" w:cs="Sarabun" w:eastAsia="Sarabun"/>
          <w:b w:val="0"/>
          <w:i w:val="0"/>
          <w:color w:val="536071"/>
          <w:sz w:val="19"/>
          <w:cs/>
        </w:rPr>
        <w:t>เอกสารนี้ตั้งใจให้ฝ่ายบริหาร HR, IT, Security, Privacy และ Legal ใช้เป็นจุดเริ่มต้นร่วมกัน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8856"/>
      </w:tblGrid>
      <w:tr>
        <w:trPr>
          <w:cantSplit/>
        </w:trPr>
        <w:tc>
          <w:tcPr>
            <w:tcW w:type="dxa" w:w="4860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Sarabun" w:hAnsi="Sarabun" w:cs="Sarabun" w:eastAsia="Sarabun"/>
                <w:b/>
                <w:i w:val="0"/>
                <w:color w:val="FFFFFF"/>
                <w:sz w:val="24"/>
                <w:cs/>
              </w:rPr>
              <w:t>01</w:t>
            </w:r>
          </w:p>
        </w:tc>
        <w:tc>
          <w:tcPr>
            <w:tcW w:type="dxa" w:w="4860"/>
            <w:tcMar>
              <w:top w:w="65" w:type="dxa"/>
              <w:start w:w="120" w:type="dxa"/>
              <w:bottom w:w="6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แทนที่ข้อความใน [วงเล็บ]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ระบุชื่อองค์กร เจ้าของนโยบาย เครื่องมือที่อนุมัติ ช่องทางขออนุมัติและรายงานเหตุ</w:t>
            </w:r>
          </w:p>
        </w:tc>
      </w:tr>
    </w:tbl>
    <w:p>
      <w:pPr>
        <w:spacing w:before="0" w:after="40"/>
      </w:pPr>
      <w:r>
        <w:rPr>
          <w:rFonts w:ascii="Sarabun" w:hAnsi="Sarabun" w:cs="Sarabun" w:eastAsia="Sarabun"/>
          <w:b w:val="0"/>
          <w:i w:val="0"/>
          <w:cs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8856"/>
      </w:tblGrid>
      <w:tr>
        <w:trPr>
          <w:cantSplit/>
        </w:trPr>
        <w:tc>
          <w:tcPr>
            <w:tcW w:type="dxa" w:w="4860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Sarabun" w:hAnsi="Sarabun" w:cs="Sarabun" w:eastAsia="Sarabun"/>
                <w:b/>
                <w:i w:val="0"/>
                <w:color w:val="FFFFFF"/>
                <w:sz w:val="24"/>
                <w:cs/>
              </w:rPr>
              <w:t>02</w:t>
            </w:r>
          </w:p>
        </w:tc>
        <w:tc>
          <w:tcPr>
            <w:tcW w:type="dxa" w:w="4860"/>
            <w:tcMar>
              <w:top w:w="65" w:type="dxa"/>
              <w:start w:w="120" w:type="dxa"/>
              <w:bottom w:w="6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ผูกกับนโยบายเดิม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ตรวจให้สอดคล้องกับนโยบายความมั่นคงปลอดภัย การคุ้มครองข้อมูลส่วนบุคคล จรรยาบรรณ การใช้ IT และวินัยพนักงาน</w:t>
            </w:r>
          </w:p>
        </w:tc>
      </w:tr>
    </w:tbl>
    <w:p>
      <w:pPr>
        <w:spacing w:before="0" w:after="40"/>
      </w:pPr>
      <w:r>
        <w:rPr>
          <w:rFonts w:ascii="Sarabun" w:hAnsi="Sarabun" w:cs="Sarabun" w:eastAsia="Sarabun"/>
          <w:b w:val="0"/>
          <w:i w:val="0"/>
          <w:cs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8856"/>
      </w:tblGrid>
      <w:tr>
        <w:trPr>
          <w:cantSplit/>
        </w:trPr>
        <w:tc>
          <w:tcPr>
            <w:tcW w:type="dxa" w:w="4860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Sarabun" w:hAnsi="Sarabun" w:cs="Sarabun" w:eastAsia="Sarabun"/>
                <w:b/>
                <w:i w:val="0"/>
                <w:color w:val="FFFFFF"/>
                <w:sz w:val="24"/>
                <w:cs/>
              </w:rPr>
              <w:t>03</w:t>
            </w:r>
          </w:p>
        </w:tc>
        <w:tc>
          <w:tcPr>
            <w:tcW w:type="dxa" w:w="4860"/>
            <w:tcMar>
              <w:top w:w="65" w:type="dxa"/>
              <w:start w:w="120" w:type="dxa"/>
              <w:bottom w:w="6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สื่อสารด้วยตัวอย่างงานจริง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อบรมจากข้อมูลและเครื่องมือที่ทีมใช้จริง กำหนดผู้อนุมัติ และทบทวนหลังเริ่มใช้งาน</w:t>
            </w:r>
          </w:p>
        </w:tc>
      </w:tr>
    </w:tbl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หลักคิดสั้นที่สุด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21"/>
      </w:tblGrid>
      <w:tr>
        <w:trPr>
          <w:cantSplit/>
        </w:trPr>
        <w:tc>
          <w:tcPr>
            <w:tcW w:type="dxa" w:w="9721"/>
            <w:shd w:fill="FFF6E2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B07010"/>
                <w:sz w:val="20"/>
                <w:cs/>
              </w:rPr>
              <w:t>ถ้าไม่แน่ใจ ให้หยุดก่อนส่ง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อย่าป้อนข้อมูลจนกว่าจะตอบได้ว่าเครื่องมือนี้ได้รับอนุมัติหรือไม่ ข้อมูลอยู่ระดับใด เรามีสิทธิใช้ข้อมูลนั้นหรือไม่ ผลลัพธ์จะกระทบใคร และใครเป็นผู้ตรวจทาน</w:t>
            </w:r>
          </w:p>
        </w:tc>
      </w:tr>
    </w:tbl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ข้อสงวนสิทธิและการใช้งาน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เผยแพร่ให้ใช้ฟรีและนำไปปรับใช้ภายในองค์กรได้ โดยควรคงเครดิตแหล่งที่มา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ไม่รับรองว่าแม่แบบนี้เพียงอย่างเดียวทำให้องค์กรปฏิบัติตามกฎหมายหรือข้อกำกับเฉพาะอุตสาหกรรมครบถ้วน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ควรให้ผู้เชี่ยวชาญด้านกฎหมาย ความเป็นส่วนตัว ความมั่นคงปลอดภัย และแรงงานตรวจทานก่อนประกาศใช้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แยกนโยบายนี้ออกจากคู่มือการใช้เครื่องมือรายผลิตภัณฑ์ เพื่อให้อัปเดตเครื่องมือได้โดยไม่ต้องแก้นโยบายหลักทุกครั้ง</w:t>
      </w:r>
    </w:p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01 / POLICY</w:t>
      </w:r>
    </w:p>
    <w:p>
      <w:pPr>
        <w:spacing w:after="18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แม่แบบนโยบาย</w:t>
      </w:r>
    </w:p>
    <w:p>
      <w:pPr>
        <w:spacing w:before="0" w:after="200"/>
        <w:keepNext/>
      </w:pPr>
      <w:r>
        <w:rPr>
          <w:rFonts w:ascii="Sarabun" w:hAnsi="Sarabun" w:cs="Sarabun" w:eastAsia="Sarabun"/>
          <w:b w:val="0"/>
          <w:i w:val="0"/>
          <w:color w:val="536071"/>
          <w:sz w:val="19"/>
          <w:cs/>
        </w:rPr>
        <w:t>ข้อความตั้งแต่หน้านี้สามารถคัดลอกไปปรับใช้เป็นนโยบายขององค์กรได้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D3C8"/>
          <w:left w:val="single" w:sz="5" w:color="D8D3C8"/>
          <w:bottom w:val="single" w:sz="5" w:color="D8D3C8"/>
          <w:right w:val="single" w:sz="5" w:color="D8D3C8"/>
          <w:insideH w:val="single" w:sz="5" w:color="D8D3C8"/>
          <w:insideV w:val="single" w:sz="5" w:color="D8D3C8"/>
        </w:tblBorders>
      </w:tblPr>
      <w:tblGrid>
        <w:gridCol w:w="2376"/>
        <w:gridCol w:w="7272"/>
      </w:tblGrid>
      <w:tr>
        <w:trPr>
          <w:cantSplit/>
        </w:trPr>
        <w:tc>
          <w:tcPr>
            <w:tcW w:type="dxa" w:w="2376"/>
            <w:tcMar>
              <w:top w:w="85" w:type="dxa"/>
              <w:start w:w="110" w:type="dxa"/>
              <w:bottom w:w="85" w:type="dxa"/>
              <w:end w:w="110" w:type="dxa"/>
            </w:tcMar>
            <w:shd w:fill="10233C"/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7"/>
                <w:cs/>
              </w:rPr>
              <w:t>ชื่อองค์กร</w:t>
            </w:r>
          </w:p>
        </w:tc>
        <w:tc>
          <w:tcPr>
            <w:tcW w:type="dxa" w:w="7272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10233C"/>
                <w:sz w:val="17"/>
                <w:cs/>
              </w:rPr>
              <w:t>[ชื่อองค์กร]</w:t>
            </w:r>
          </w:p>
        </w:tc>
      </w:tr>
      <w:tr>
        <w:trPr>
          <w:cantSplit/>
        </w:trPr>
        <w:tc>
          <w:tcPr>
            <w:tcW w:type="dxa" w:w="2376"/>
            <w:tcMar>
              <w:top w:w="85" w:type="dxa"/>
              <w:start w:w="110" w:type="dxa"/>
              <w:bottom w:w="85" w:type="dxa"/>
              <w:end w:w="110" w:type="dxa"/>
            </w:tcMar>
            <w:shd w:fill="10233C"/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7"/>
                <w:cs/>
              </w:rPr>
              <w:t>เจ้าของนโยบาย</w:t>
            </w:r>
          </w:p>
        </w:tc>
        <w:tc>
          <w:tcPr>
            <w:tcW w:type="dxa" w:w="7272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10233C"/>
                <w:sz w:val="17"/>
                <w:cs/>
              </w:rPr>
              <w:t>[ตำแหน่ง/หน่วยงาน]</w:t>
            </w:r>
          </w:p>
        </w:tc>
      </w:tr>
      <w:tr>
        <w:trPr>
          <w:cantSplit/>
        </w:trPr>
        <w:tc>
          <w:tcPr>
            <w:tcW w:type="dxa" w:w="2376"/>
            <w:tcMar>
              <w:top w:w="85" w:type="dxa"/>
              <w:start w:w="110" w:type="dxa"/>
              <w:bottom w:w="85" w:type="dxa"/>
              <w:end w:w="110" w:type="dxa"/>
            </w:tcMar>
            <w:shd w:fill="10233C"/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7"/>
                <w:cs/>
              </w:rPr>
              <w:t>เวอร์ชัน / วันที่มีผล</w:t>
            </w:r>
          </w:p>
        </w:tc>
        <w:tc>
          <w:tcPr>
            <w:tcW w:type="dxa" w:w="7272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10233C"/>
                <w:sz w:val="17"/>
                <w:cs/>
              </w:rPr>
              <w:t>[เวอร์ชัน] / [วัน เดือน ปี]</w:t>
            </w:r>
          </w:p>
        </w:tc>
      </w:tr>
      <w:tr>
        <w:trPr>
          <w:cantSplit/>
        </w:trPr>
        <w:tc>
          <w:tcPr>
            <w:tcW w:type="dxa" w:w="2376"/>
            <w:tcMar>
              <w:top w:w="85" w:type="dxa"/>
              <w:start w:w="110" w:type="dxa"/>
              <w:bottom w:w="85" w:type="dxa"/>
              <w:end w:w="110" w:type="dxa"/>
            </w:tcMar>
            <w:shd w:fill="10233C"/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7"/>
                <w:cs/>
              </w:rPr>
              <w:t>รอบทบทวน</w:t>
            </w:r>
          </w:p>
        </w:tc>
        <w:tc>
          <w:tcPr>
            <w:tcW w:type="dxa" w:w="7272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อย่างน้อยปีละ 1 ครั้ง หรือเมื่อมีการเปลี่ยนเครื่องมือ/กฎหมาย/ความเสี่ยงสำคัญ</w:t>
            </w:r>
          </w:p>
        </w:tc>
      </w:tr>
      <w:tr>
        <w:trPr>
          <w:cantSplit/>
        </w:trPr>
        <w:tc>
          <w:tcPr>
            <w:tcW w:type="dxa" w:w="2376"/>
            <w:tcMar>
              <w:top w:w="85" w:type="dxa"/>
              <w:start w:w="110" w:type="dxa"/>
              <w:bottom w:w="85" w:type="dxa"/>
              <w:end w:w="110" w:type="dxa"/>
            </w:tcMar>
            <w:shd w:fill="10233C"/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7"/>
                <w:cs/>
              </w:rPr>
              <w:t>ช่องทางขออนุมัติหรือรายงานเหตุ</w:t>
            </w:r>
          </w:p>
        </w:tc>
        <w:tc>
          <w:tcPr>
            <w:tcW w:type="dxa" w:w="7272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10233C"/>
                <w:sz w:val="17"/>
                <w:cs/>
              </w:rPr>
              <w:t>[อีเมล / Service Desk / ผู้รับผิดชอบ]</w:t>
            </w:r>
          </w:p>
        </w:tc>
      </w:tr>
    </w:tbl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1. วัตถุประสงค์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[ชื่อองค์กร] สนับสนุนการใช้ Generative AI เพื่อเพิ่มคุณภาพ ความรวดเร็ว และการเรียนรู้ในการทำงาน โดยต้องไม่ลดทอนความรับผิดชอบของมนุษย์ ความมั่นคงปลอดภัย สิทธิในข้อมูลส่วนบุคคล ทรัพย์สินทางปัญญา ความเป็นธรรม หรือความน่าเชื่อถือขององค์กร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2. ขอบเขต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นโยบายนี้ใช้กับกรรมการ ผู้บริหาร พนักงาน ลูกจ้างชั่วคราว ผู้รับจ้าง ที่ปรึกษา และบุคคลอื่นที่ใช้ Generative AI เพื่อทำงานให้ [ชื่อองค์กร] ไม่ว่าจะใช้อุปกรณ์ บัญชี หรือเครือข่ายขององค์กรหรือส่วนตัว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ครอบคลุมเครื่องมือสาธารณะ เครื่องมือของบุคคลที่สาม API ส่วนเสริม เบราว์เซอร์ ระบบสร้างข้อความ ภาพ เสียง วิดีโอ โค้ด และระบบอัตโนมัติที่มี Generative AI เป็นส่วนประกอบ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3. หลักการบังคับใช้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มนุษย์รับผิดชอบผลลัพธ์สุดท้ายเสมอ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ใช้ข้อมูลให้น้อยที่สุดและอยู่ในขอบเขตที่ได้รับอนุญาต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ตรวจสอบข้อเท็จจริง ที่มา อคติ ความเหมาะสม และสิทธิในการใช้งานก่อนนำผลลัพธ์ไปใช้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เปิดเผยการใช้ AI เมื่อจำเป็นต่อความโปร่งใส ความไว้วางใจ หรือข้อกำหนดของงาน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ยกระดับการอนุมัติตามความเสี่ยง ไม่ใช่ตามความสะดวกของเครื่องมือ</w:t>
      </w:r>
    </w:p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02 / OWNERSHIP</w:t>
      </w:r>
    </w:p>
    <w:p>
      <w:pPr>
        <w:spacing w:after="24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คำสำคัญและผู้รับผิดชอบ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4. คำสำคัญ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/>
          <w:i w:val="0"/>
          <w:color w:val="10233C"/>
          <w:sz w:val="18"/>
          <w:cs/>
        </w:rPr>
        <w:t xml:space="preserve">Generative AI — </w:t>
      </w: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ระบบที่สร้างหรือแปลงเนื้อหา เช่น ข้อความ ภาพ เสียง วิดีโอ โค้ด หรือคำตอบ จากคำสั่งและข้อมูลที่ได้รับ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/>
          <w:i w:val="0"/>
          <w:color w:val="10233C"/>
          <w:sz w:val="18"/>
          <w:cs/>
        </w:rPr>
        <w:t xml:space="preserve">เครื่องมือที่อนุมัติ — </w:t>
      </w: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ผลิตภัณฑ์ รุ่น บัญชี หรือสภาพแวดล้อมที่ [ชื่อองค์กร] ประเมินและอนุญาตให้ใช้ตามเงื่อนไขที่กำหนด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/>
          <w:i w:val="0"/>
          <w:color w:val="10233C"/>
          <w:sz w:val="18"/>
          <w:cs/>
        </w:rPr>
        <w:t xml:space="preserve">ข้อมูลภายใน — </w:t>
      </w: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ข้อมูลที่ยังไม่เปิดเผยต่อสาธารณะ แม้อาจไม่ถูกจัดชั้นเป็นความลับ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/>
          <w:i w:val="0"/>
          <w:color w:val="10233C"/>
          <w:sz w:val="18"/>
          <w:cs/>
        </w:rPr>
        <w:t xml:space="preserve">ผลกระทบสูง — </w:t>
      </w: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การใช้ AI ที่อาจกระทบสิทธิ การจ้างงาน สุขภาพ ความปลอดภัย เครดิต การเงิน กฎหมาย ชื่อเสียง หรือการเข้าถึงบริการของบุคคล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/>
          <w:i w:val="0"/>
          <w:color w:val="10233C"/>
          <w:sz w:val="18"/>
          <w:cs/>
        </w:rPr>
        <w:t xml:space="preserve">ผู้ตรวจทานที่เหมาะสม — </w:t>
      </w: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บุคคลที่มีความรู้และอำนาจเพียงพอจะตรวจความถูกต้อง ความเสี่ยง และอนุมัติการใช้ผลลัพธ์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5. บทบาท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8D3C8"/>
          <w:left w:val="single" w:sz="5" w:color="D8D3C8"/>
          <w:bottom w:val="single" w:sz="5" w:color="D8D3C8"/>
          <w:right w:val="single" w:sz="5" w:color="D8D3C8"/>
          <w:insideH w:val="single" w:sz="5" w:color="D8D3C8"/>
          <w:insideV w:val="single" w:sz="5" w:color="D8D3C8"/>
        </w:tblBorders>
      </w:tblPr>
      <w:tblGrid>
        <w:gridCol w:w="2376"/>
        <w:gridCol w:w="7272"/>
      </w:tblGrid>
      <w:tr>
        <w:trPr>
          <w:cantSplit/>
        </w:trPr>
        <w:tc>
          <w:tcPr>
            <w:tcW w:type="dxa" w:w="2376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ผู้บริหาร</w:t>
            </w:r>
          </w:p>
        </w:tc>
        <w:tc>
          <w:tcPr>
            <w:tcW w:type="dxa" w:w="7272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อนุมัติทิศทาง ระดับความเสี่ยง ทรัพยากร และข้อยกเว้นสำคัญ</w:t>
            </w:r>
          </w:p>
        </w:tc>
      </w:tr>
      <w:tr>
        <w:trPr>
          <w:cantSplit/>
        </w:trPr>
        <w:tc>
          <w:tcPr>
            <w:tcW w:type="dxa" w:w="2376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เจ้าของนโยบาย</w:t>
            </w:r>
          </w:p>
        </w:tc>
        <w:tc>
          <w:tcPr>
            <w:tcW w:type="dxa" w:w="7272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ดูแลรายการเครื่องมือ กติกา แบบฟอร์มอนุมัติ การสื่อสาร และรอบทบทวน</w:t>
            </w:r>
          </w:p>
        </w:tc>
      </w:tr>
      <w:tr>
        <w:trPr>
          <w:cantSplit/>
        </w:trPr>
        <w:tc>
          <w:tcPr>
            <w:tcW w:type="dxa" w:w="2376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IT / Security</w:t>
            </w:r>
          </w:p>
        </w:tc>
        <w:tc>
          <w:tcPr>
            <w:tcW w:type="dxa" w:w="7272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ประเมินผู้ให้บริการ สิทธิ์เข้าถึง การเชื่อมระบบ การบันทึกเหตุการณ์ และการตอบสนองเหตุ</w:t>
            </w:r>
          </w:p>
        </w:tc>
      </w:tr>
      <w:tr>
        <w:trPr>
          <w:cantSplit/>
        </w:trPr>
        <w:tc>
          <w:tcPr>
            <w:tcW w:type="dxa" w:w="2376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Privacy / DPO / Legal</w:t>
            </w:r>
          </w:p>
        </w:tc>
        <w:tc>
          <w:tcPr>
            <w:tcW w:type="dxa" w:w="7272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ให้คำแนะนำเรื่อง PDPA สัญญา ทรัพย์สินทางปัญญา การส่งข้อมูล และการใช้งานผลกระทบสูง</w:t>
            </w:r>
          </w:p>
        </w:tc>
      </w:tr>
      <w:tr>
        <w:trPr>
          <w:cantSplit/>
        </w:trPr>
        <w:tc>
          <w:tcPr>
            <w:tcW w:type="dxa" w:w="2376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HR และหัวหน้างาน</w:t>
            </w:r>
          </w:p>
        </w:tc>
        <w:tc>
          <w:tcPr>
            <w:tcW w:type="dxa" w:w="7272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กำหนดการใช้กับบุคลากร อบรม กำกับดูแล และดำเนินการอย่างเป็นธรรมตามนโยบายองค์กร</w:t>
            </w:r>
          </w:p>
        </w:tc>
      </w:tr>
      <w:tr>
        <w:trPr>
          <w:cantSplit/>
        </w:trPr>
        <w:tc>
          <w:tcPr>
            <w:tcW w:type="dxa" w:w="2376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ผู้ใช้งาน</w:t>
            </w:r>
          </w:p>
        </w:tc>
        <w:tc>
          <w:tcPr>
            <w:tcW w:type="dxa" w:w="7272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เลือกเครื่องมือและข้อมูลให้ถูก ตรวจทานผลลัพธ์ เก็บหลักฐาน และรายงานเหตุหรือข้อสงสัยทันที</w:t>
            </w:r>
          </w:p>
        </w:tc>
      </w:tr>
    </w:tbl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03 / USE</w:t>
      </w:r>
    </w:p>
    <w:p>
      <w:pPr>
        <w:spacing w:after="24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อะไรใช้ได้ อะไรต้องอนุมัติ อะไรห้าม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D3C8"/>
          <w:left w:val="single" w:sz="5" w:color="D8D3C8"/>
          <w:bottom w:val="single" w:sz="5" w:color="D8D3C8"/>
          <w:right w:val="single" w:sz="5" w:color="D8D3C8"/>
          <w:insideH w:val="single" w:sz="5" w:color="D8D3C8"/>
          <w:insideV w:val="single" w:sz="5" w:color="D8D3C8"/>
        </w:tblBorders>
      </w:tblPr>
      <w:tblGrid>
        <w:gridCol w:w="2430"/>
        <w:gridCol w:w="2430"/>
        <w:gridCol w:w="2430"/>
        <w:gridCol w:w="2430"/>
      </w:tblGrid>
      <w:tr>
        <w:trPr>
          <w:tblHeader w:val="true"/>
        </w:trPr>
        <w:tc>
          <w:tcPr>
            <w:tcW w:type="dxa" w:w="1267"/>
            <w:shd w:fill="10233C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6"/>
                <w:cs/>
              </w:rPr>
              <w:t>ระดับ</w:t>
            </w:r>
          </w:p>
        </w:tc>
        <w:tc>
          <w:tcPr>
            <w:tcW w:type="dxa" w:w="2477"/>
            <w:shd w:fill="10233C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6"/>
                <w:cs/>
              </w:rPr>
              <w:t>ใช้ได้เมื่อ</w:t>
            </w:r>
          </w:p>
        </w:tc>
        <w:tc>
          <w:tcPr>
            <w:tcW w:type="dxa" w:w="2952"/>
            <w:shd w:fill="10233C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6"/>
                <w:cs/>
              </w:rPr>
              <w:t>ตัวอย่าง</w:t>
            </w:r>
          </w:p>
        </w:tc>
        <w:tc>
          <w:tcPr>
            <w:tcW w:type="dxa" w:w="2952"/>
            <w:shd w:fill="10233C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6"/>
                <w:cs/>
              </w:rPr>
              <w:t>การควบคุมขั้นต่ำ</w:t>
            </w:r>
          </w:p>
        </w:tc>
      </w:tr>
      <w:tr>
        <w:trPr>
          <w:cantSplit/>
        </w:trPr>
        <w:tc>
          <w:tcPr>
            <w:tcW w:type="dxa" w:w="1267"/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r>
              <w:rPr>
                <w:rFonts w:ascii="Sarabun" w:hAnsi="Sarabun" w:cs="Sarabun" w:eastAsia="Sarabun"/>
                <w:b/>
                <w:i w:val="0"/>
                <w:color w:val="1F7A4C"/>
                <w:sz w:val="16"/>
                <w:cs/>
              </w:rPr>
              <w:t>ใช้ได้</w:t>
            </w:r>
          </w:p>
        </w:tc>
        <w:tc>
          <w:tcPr>
            <w:tcW w:type="dxa" w:w="2477"/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ข้อมูลเป็นสาธารณะหรือสร้างขึ้นใหม่</w:t>
            </w:r>
          </w:p>
        </w:tc>
        <w:tc>
          <w:tcPr>
            <w:tcW w:type="dxa" w:w="2952"/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ระดมไอเดีย ปรับภาษา สรุปข้อมูลสาธารณะ</w:t>
            </w:r>
          </w:p>
        </w:tc>
        <w:tc>
          <w:tcPr>
            <w:tcW w:type="dxa" w:w="2952"/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ตรวจทานความถูกต้องก่อนใช้</w:t>
            </w:r>
          </w:p>
        </w:tc>
      </w:tr>
      <w:tr>
        <w:trPr>
          <w:cantSplit/>
        </w:trPr>
        <w:tc>
          <w:tcPr>
            <w:tcW w:type="dxa" w:w="1267"/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r>
              <w:rPr>
                <w:rFonts w:ascii="Sarabun" w:hAnsi="Sarabun" w:cs="Sarabun" w:eastAsia="Sarabun"/>
                <w:b/>
                <w:i w:val="0"/>
                <w:color w:val="B07010"/>
                <w:sz w:val="16"/>
                <w:cs/>
              </w:rPr>
              <w:t>ต้องอนุมัติ</w:t>
            </w:r>
          </w:p>
        </w:tc>
        <w:tc>
          <w:tcPr>
            <w:tcW w:type="dxa" w:w="2477"/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มีข้อมูลภายใน ผลกระทบภายนอก หรือเชื่อมระบบ</w:t>
            </w:r>
          </w:p>
        </w:tc>
        <w:tc>
          <w:tcPr>
            <w:tcW w:type="dxa" w:w="2952"/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เอกสารลูกค้า โค้ดภายใน งานเผยแพร่ การทำงานอัตโนมัติ</w:t>
            </w:r>
          </w:p>
        </w:tc>
        <w:tc>
          <w:tcPr>
            <w:tcW w:type="dxa" w:w="2952"/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ใช้เครื่องมือองค์กร + เจ้าของงาน/IT/กฎหมายอนุมัติตามความเสี่ยง</w:t>
            </w:r>
          </w:p>
        </w:tc>
      </w:tr>
      <w:tr>
        <w:trPr>
          <w:cantSplit/>
        </w:trPr>
        <w:tc>
          <w:tcPr>
            <w:tcW w:type="dxa" w:w="1267"/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r>
              <w:rPr>
                <w:rFonts w:ascii="Sarabun" w:hAnsi="Sarabun" w:cs="Sarabun" w:eastAsia="Sarabun"/>
                <w:b/>
                <w:i w:val="0"/>
                <w:color w:val="A72D2D"/>
                <w:sz w:val="16"/>
                <w:cs/>
              </w:rPr>
              <w:t>ห้าม</w:t>
            </w:r>
          </w:p>
        </w:tc>
        <w:tc>
          <w:tcPr>
            <w:tcW w:type="dxa" w:w="2477"/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มีข้อมูลต้องห้าม หรือวัตถุประสงค์ผิดกฎหมาย/หลอกลวง</w:t>
            </w:r>
          </w:p>
        </w:tc>
        <w:tc>
          <w:tcPr>
            <w:tcW w:type="dxa" w:w="2952"/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รหัสผ่าน ข้อมูลอ่อนไหว deepfake หลอกลวง การตัดสินบุคลากรแบบอัตโนมัติ</w:t>
            </w:r>
          </w:p>
        </w:tc>
        <w:tc>
          <w:tcPr>
            <w:tcW w:type="dxa" w:w="2952"/>
            <w:tcMar>
              <w:top w:w="95" w:type="dxa"/>
              <w:start w:w="110" w:type="dxa"/>
              <w:bottom w:w="95" w:type="dxa"/>
              <w:end w:w="110" w:type="dxa"/>
            </w:tcMar>
            <w:vAlign w:val="top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หยุด ไม่ป้อนข้อมูล และรายงานหากเกิดเหตุ</w:t>
            </w:r>
          </w:p>
        </w:tc>
      </w:tr>
    </w:tbl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6. ตัวอย่างการใช้ที่ยอมรับได้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ระดมความคิด จัดโครงร่าง หรือสร้างคำถาม โดยไม่ป้อนข้อมูลลับหรือข้อมูลส่วนบุคคล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ปรับภาษา แปล หรือสรุปเนื้อหาที่องค์กรมีสิทธิใช้และอยู่ในระดับข้อมูลที่เครื่องมือรองรับ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สร้างตัวอย่าง แบบฟอร์ม หรือข้อมูลจำลองที่ไม่สามารถย้อนกลับไประบุตัวบุคคลหรือความลับจริง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ค้นหาแนวทางเบื้องต้นจากข้อมูลสาธารณะ โดยผู้ใช้ต้องตรวจแหล่งที่มาและข้อมูลล่าสุดด้วยตนเอง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ช่วยเขียนหรือทบทวนโค้ดในสภาพแวดล้อมที่อนุมัติ โดยไม่ส่ง source code, key หรือช่องโหว่ที่เป็นความลับออกนอกขอบเขต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7. การใช้ที่ต้องได้รับอนุมัติก่อน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นำข้อมูลภายใน ข้อมูลลูกค้า หรือเอกสารตามสัญญาไปประมวลผล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เผยแพร่ผลลัพธ์ต่อสาธารณะ ส่งให้ลูกค้า ใช้ในคำแนะนำวิชาชีพ หรือสื่อสารในนามองค์กร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เชื่อม AI กับอีเมล ฐานข้อมูล ระบบงาน หรือให้ AI สั่งการแทนผู้ใช้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ใช้กับการสรรหา ประเมินผลงาน วินัย ค่าตอบแทน เลื่อนตำแหน่ง หรือการตัดสินใจที่กระทบบุคคล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ใช้ในงานกฎหมาย การเงิน สุขภาพ ความปลอดภัย วิศวกรรม หรือบริบทที่ความผิดพลาดสร้างความเสียหายสูง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8. การใช้ที่ห้าม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ป้อนรหัสผ่าน token API key private key หรือข้อมูลรับรองทุกชนิด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สร้างเนื้อหาหลอกลวง ปลอมตัว ละเมิดสิทธิ คุกคาม เลือกปฏิบัติ หรือช่วยกระทำการผิดกฎหมาย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หลีกเลี่ยงมาตรการรักษาความปลอดภัย การอนุมัติ หรือข้อจำกัดการเข้าถึงขององค์กร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นำผลลัพธ์ AI ไปใช้เป็นข้อเท็จจริงหรือคำตัดสินสุดท้ายโดยไม่มีการตรวจทานที่เหมาะสม</w:t>
      </w:r>
    </w:p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04 / DATA</w:t>
      </w:r>
    </w:p>
    <w:p>
      <w:pPr>
        <w:spacing w:after="24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ข้อมูล ความเป็นส่วนตัว และความลับ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D3C8"/>
          <w:left w:val="single" w:sz="5" w:color="D8D3C8"/>
          <w:bottom w:val="single" w:sz="5" w:color="D8D3C8"/>
          <w:right w:val="single" w:sz="5" w:color="D8D3C8"/>
          <w:insideH w:val="single" w:sz="5" w:color="D8D3C8"/>
          <w:insideV w:val="single" w:sz="5" w:color="D8D3C8"/>
        </w:tblBorders>
      </w:tblPr>
      <w:tblGrid>
        <w:gridCol w:w="3240"/>
        <w:gridCol w:w="3240"/>
        <w:gridCol w:w="3240"/>
      </w:tblGrid>
      <w:tr>
        <w:trPr>
          <w:tblHeader w:val="true"/>
        </w:trPr>
        <w:tc>
          <w:tcPr>
            <w:tcW w:type="dxa" w:w="1958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6"/>
                <w:cs/>
              </w:rPr>
              <w:t>ประเภทข้อมูล</w:t>
            </w:r>
          </w:p>
        </w:tc>
        <w:tc>
          <w:tcPr>
            <w:tcW w:type="dxa" w:w="3456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6"/>
                <w:cs/>
              </w:rPr>
              <w:t>ตัวอย่าง</w:t>
            </w:r>
          </w:p>
        </w:tc>
        <w:tc>
          <w:tcPr>
            <w:tcW w:type="dxa" w:w="4234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6"/>
                <w:cs/>
              </w:rPr>
              <w:t>กติกา</w:t>
            </w:r>
          </w:p>
        </w:tc>
      </w:tr>
      <w:tr>
        <w:trPr>
          <w:cantSplit/>
        </w:trPr>
        <w:tc>
          <w:tcPr>
            <w:tcW w:type="dxa" w:w="195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5"/>
                <w:cs/>
              </w:rPr>
              <w:t>สาธารณะ</w:t>
            </w:r>
          </w:p>
        </w:tc>
        <w:tc>
          <w:tcPr>
            <w:tcW w:type="dxa" w:w="3456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5"/>
                <w:cs/>
              </w:rPr>
              <w:t>ข้อมูลที่องค์กรเผยแพร่แล้วโดยชอบ</w:t>
            </w:r>
          </w:p>
        </w:tc>
        <w:tc>
          <w:tcPr>
            <w:tcW w:type="dxa" w:w="4234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5"/>
                <w:cs/>
              </w:rPr>
              <w:t>ใช้ได้ แต่ยังต้องตรวจสิทธิและความถูกต้อง</w:t>
            </w:r>
          </w:p>
        </w:tc>
      </w:tr>
      <w:tr>
        <w:trPr>
          <w:cantSplit/>
        </w:trPr>
        <w:tc>
          <w:tcPr>
            <w:tcW w:type="dxa" w:w="1958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5"/>
                <w:cs/>
              </w:rPr>
              <w:t>ใช้ภายใน</w:t>
            </w:r>
          </w:p>
        </w:tc>
        <w:tc>
          <w:tcPr>
            <w:tcW w:type="dxa" w:w="3456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5"/>
                <w:cs/>
              </w:rPr>
              <w:t>แนวทางทำงานทั่วไป บันทึกภายในที่ไม่เป็นความลับ</w:t>
            </w:r>
          </w:p>
        </w:tc>
        <w:tc>
          <w:tcPr>
            <w:tcW w:type="dxa" w:w="4234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5"/>
                <w:cs/>
              </w:rPr>
              <w:t>ใช้เฉพาะเครื่องมือที่องค์กรอนุมัติและตามสิทธิ์เข้าถึง</w:t>
            </w:r>
          </w:p>
        </w:tc>
      </w:tr>
      <w:tr>
        <w:trPr>
          <w:cantSplit/>
        </w:trPr>
        <w:tc>
          <w:tcPr>
            <w:tcW w:type="dxa" w:w="195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5"/>
                <w:cs/>
              </w:rPr>
              <w:t>ลับ/จำกัด</w:t>
            </w:r>
          </w:p>
        </w:tc>
        <w:tc>
          <w:tcPr>
            <w:tcW w:type="dxa" w:w="3456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5"/>
                <w:cs/>
              </w:rPr>
              <w:t>กลยุทธ์ ราคา สัญญา โค้ด รายงานเหตุ รายชื่อลูกค้า ข้อมูลยังไม่เปิดเผย</w:t>
            </w:r>
          </w:p>
        </w:tc>
        <w:tc>
          <w:tcPr>
            <w:tcW w:type="dxa" w:w="4234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5"/>
                <w:cs/>
              </w:rPr>
              <w:t>ห้ามใส่ในเครื่องมือสาธารณะ; ต้องมีอนุมัติและมาตรการเฉพาะ</w:t>
            </w:r>
          </w:p>
        </w:tc>
      </w:tr>
      <w:tr>
        <w:trPr>
          <w:cantSplit/>
        </w:trPr>
        <w:tc>
          <w:tcPr>
            <w:tcW w:type="dxa" w:w="1958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5"/>
                <w:cs/>
              </w:rPr>
              <w:t>ข้อมูลส่วนบุคคล</w:t>
            </w:r>
          </w:p>
        </w:tc>
        <w:tc>
          <w:tcPr>
            <w:tcW w:type="dxa" w:w="3456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5"/>
                <w:cs/>
              </w:rPr>
              <w:t>ชื่อ อีเมล ภาพ เสียง รหัสพนักงาน ประวัติการทำงาน</w:t>
            </w:r>
          </w:p>
        </w:tc>
        <w:tc>
          <w:tcPr>
            <w:tcW w:type="dxa" w:w="4234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5"/>
                <w:cs/>
              </w:rPr>
              <w:t>ใช้เท่าที่จำเป็น มีฐานกฎหมาย/คำแจ้ง และอยู่ในขอบเขตที่อนุมัติ</w:t>
            </w:r>
          </w:p>
        </w:tc>
      </w:tr>
      <w:tr>
        <w:trPr>
          <w:cantSplit/>
        </w:trPr>
        <w:tc>
          <w:tcPr>
            <w:tcW w:type="dxa" w:w="195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5"/>
                <w:cs/>
              </w:rPr>
              <w:t>ข้อมูลส่วนบุคคลที่มีความอ่อนไหว</w:t>
            </w:r>
          </w:p>
        </w:tc>
        <w:tc>
          <w:tcPr>
            <w:tcW w:type="dxa" w:w="3456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5"/>
                <w:cs/>
              </w:rPr>
              <w:t>สุขภาพ ชีวภาพ ความพิการ ศาสนา ความเห็นทางการเมือง ประวัติอาชญากรรม ฯลฯ</w:t>
            </w:r>
          </w:p>
        </w:tc>
        <w:tc>
          <w:tcPr>
            <w:tcW w:type="dxa" w:w="4234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5"/>
                <w:cs/>
              </w:rPr>
              <w:t>โดยหลักไม่ป้อน; ใช้ได้เฉพาะกรณีจำเป็น มีฐานกฎหมายและอนุมัติจาก Privacy/Legal</w:t>
            </w:r>
          </w:p>
        </w:tc>
      </w:tr>
      <w:tr>
        <w:trPr>
          <w:cantSplit/>
        </w:trPr>
        <w:tc>
          <w:tcPr>
            <w:tcW w:type="dxa" w:w="1958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5"/>
                <w:cs/>
              </w:rPr>
              <w:t>ข้อมูลรับรอง/ความลับระบบ</w:t>
            </w:r>
          </w:p>
        </w:tc>
        <w:tc>
          <w:tcPr>
            <w:tcW w:type="dxa" w:w="3456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5"/>
                <w:cs/>
              </w:rPr>
              <w:t>รหัสผ่าน API key token private key</w:t>
            </w:r>
          </w:p>
        </w:tc>
        <w:tc>
          <w:tcPr>
            <w:tcW w:type="dxa" w:w="4234"/>
            <w:tcMar>
              <w:top w:w="80" w:type="dxa"/>
              <w:start w:w="110" w:type="dxa"/>
              <w:bottom w:w="80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5"/>
                <w:cs/>
              </w:rPr>
              <w:t>ห้ามป้อนทุกกรณี; หากเผลอป้อนให้เพิกถอน/เปลี่ยนและรายงานทันที</w:t>
            </w:r>
          </w:p>
        </w:tc>
      </w:tr>
    </w:tbl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9. กติกาก่อนป้อนข้อมูล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ใช้ข้อมูลเท่าที่จำเป็นต่อวัตถุประสงค์ ตัดรายละเอียดที่ไม่เกี่ยวข้อง และแทนที่ข้อมูลจริงด้วยข้อมูลจำลองเมื่อทำได้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ตรวจฐานกฎหมาย คำแจ้งความเป็นส่วนตัว ความยินยอม (หากใช้) สัญญา และข้อกำหนดการส่งข้อมูลไปต่างประเทศก่อนประมวลผลข้อมูลส่วนบุคคล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อย่าเชื่อว่าการปิดประวัติสนทนา โหมดส่วนตัว หรือคำรับรองของผู้ให้บริการทำให้ข้อมูลปลอดภัยโดยอัตโนมัติ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ใช้บัญชีองค์กรและสิทธิ์เข้าถึงที่ได้รับมอบหมาย ห้ามแชร์บัญชีหรือคัดลอกข้อมูลไปยังบัญชีส่วนตัว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ห้ามนำข้อมูลที่ติดข้อจำกัดของลูกค้า คู่ค้า NDA สิทธิพิเศษทางกฎหมาย หรือข้อกำกับเฉพาะอุตสาหกรรมไปใช้โดยไม่ได้รับอนุมัติ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21"/>
      </w:tblGrid>
      <w:tr>
        <w:trPr>
          <w:cantSplit/>
        </w:trPr>
        <w:tc>
          <w:tcPr>
            <w:tcW w:type="dxa" w:w="9721"/>
            <w:shd w:fill="EDF3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PDPA ไม่ได้เริ่มที่คำว่า ‘ยินยอม’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การประมวลผลข้อมูลส่วนบุคคลต้องมีวัตถุประสงค์และฐานกฎหมายที่เหมาะสม แจ้งรายละเอียดตามที่กฎหมายกำหนด ใช้ข้อมูลเท่าที่จำเป็น ดูแลสิทธิของเจ้าของข้อมูล และมีมาตรการรักษาความมั่นคงปลอดภัย ความยินยอมเป็นเพียงหนึ่งในฐานกฎหมาย</w:t>
            </w:r>
          </w:p>
        </w:tc>
      </w:tr>
    </w:tbl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05 / OUTPUT</w:t>
      </w:r>
    </w:p>
    <w:p>
      <w:pPr>
        <w:spacing w:after="24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ตรวจผลลัพธ์ก่อนใช้ทุกครั้ง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10. ความถูกต้องและอคติ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ตรวจข้อเท็จจริง ตัวเลข วันที่ ชื่อบุคคล กฎหมาย ข้อกำหนด และแหล่งอ้างอิงจากแหล่งต้นทางที่เชื่อถือได้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ทดสอบผลลัพธ์กับกรณีที่หลากหลายเพื่อหาความลำเอียง การเหมารวม หรือผลกระทบที่ไม่เป็นธรรม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ห้ามอ้างลิงก์ คำพิพากษา งานวิจัย มาตรฐาน หรือบุคคลที่ยังไม่ได้เปิดและตรวจสอบจริง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งานที่มีผลกระทบสูงต้องมีผู้ตรวจทานที่มีความเชี่ยวชาญและบันทึกเหตุผลการตัดสินใจ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11. ทรัพย์สินทางปัญญาและสิทธิของบุคคลอื่น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ผู้ใช้ต้องมีสิทธิใช้ข้อมูลนำเข้า ภาพ เสียง เนื้อหา ซอฟต์แวร์ และเครื่องหมายการค้าที่นำไปให้ AI ประมวลผล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ตรวจว่าผลลัพธ์มีความคล้ายคลึงกับงานของผู้อื่นหรือมีเงื่อนไขใบอนุญาตที่ต้องปฏิบัติตามหรือไม่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ห้ามสั่งให้เลียนแบบบุคคลที่ระบุตัวได้ สร้างภาพ/เสียงบุคคลโดยไม่มีสิทธิ หรือปกปิดที่มาของเนื้อหาเพื่อหลีกเลี่ยงลิขสิทธิ์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ปรึกษา Legal ก่อนใช้ผลลัพธ์ AI เป็นทรัพย์สินหลัก เครื่องหมายการค้า งานโฆษณาสำคัญ หรือสิ่งที่จะขอความคุ้มครองทางกฎหมาย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12. ความโปร่งใส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เปิดเผยการใช้ AI เมื่อผู้รับอาจเข้าใจผิดว่าเนื้อหาถูกสร้าง ตรวจสอบ หรือรับรองโดยมนุษย์ทั้งหมด เมื่อสัญญาหรือกฎหมายกำหนด หรือเมื่อผลลัพธ์มีผลกระทบต่อบุคคล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21"/>
      </w:tblGrid>
      <w:tr>
        <w:trPr>
          <w:cantSplit/>
        </w:trPr>
        <w:tc>
          <w:tcPr>
            <w:tcW w:type="dxa" w:w="9721"/>
            <w:shd w:fill="FFF6E2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B59150"/>
                <w:sz w:val="20"/>
                <w:cs/>
              </w:rPr>
              <w:t>ข้อความเปิดเผยตัวอย่าง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“เอกสารนี้จัดทำโดยใช้ Generative AI ช่วยร่าง/สรุป และได้รับการตรวจทานโดย [ชื่อ/ตำแหน่ง] ก่อนเผยแพร่”</w:t>
            </w:r>
          </w:p>
        </w:tc>
      </w:tr>
    </w:tbl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06 / PEOPLE</w:t>
      </w:r>
    </w:p>
    <w:p>
      <w:pPr>
        <w:spacing w:after="24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บุคลากรและการตัดสินใจที่มีผลกระทบสูง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13. ห้ามให้ AI เป็นผู้ตัดสินสุดท้าย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AI อาจช่วยจัดโครงสร้างข้อมูลหรือเสนอประเด็นให้พิจารณาได้เฉพาะเมื่อได้รับอนุมัติ แต่ห้ามใช้เป็นผู้ตัดสินสุดท้ายในเรื่องการสรรหา คัดออก เลื่อนตำแหน่ง ประเมินผลงาน ค่าตอบแทน โยกย้าย วินัย เลิกจ้าง หรือการตัดสินใจอื่นที่มีผลอย่างมีนัยสำคัญต่อบุคคล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14. เงื่อนไขขั้นต่ำสำหรับการใช้กับบุคลากร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กำหนดวัตถุประสงค์ เจ้าของงาน เกณฑ์ และข้อมูลที่ใช้ให้ชัดเจนก่อนเริ่ม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ให้ HR, Privacy/Legal และ IT/Security ประเมินความจำเป็น ความเป็นธรรม ความเป็นส่วนตัว และผู้ให้บริการ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แจ้งบุคคลที่เกี่ยวข้องตามที่กฎหมายและความเหมาะสมกำหนด พร้อมช่องทางให้สอบถามหรือโต้แย้ง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ให้มนุษย์พิจารณาหลักฐานทั้งหมดอย่างมีความหมาย ไม่ใช่เพียงกดยืนยันคำแนะนำของ AI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บันทึกข้อมูลที่ใช้ รุ่น/เครื่องมือ ผลลัพธ์ ผู้ทบทวน เหตุผล และการตัดสินใจสุดท้ายเท่าที่จำเป็น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ติดตามผลลัพธ์ระหว่างกลุ่ม หาความคลาดเคลื่อนหรือการเลือกปฏิบัติ และหยุดใช้เมื่อควบคุมความเสี่ยงไม่ได้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15. งานวิชาชีพและงานสำคัญ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ผลลัพธ์ AI ไม่ใช่คำแนะนำทางกฎหมาย การแพทย์ การเงิน ภาษี ความปลอดภัย หรือวิศวกรรมโดยตัวมันเอง งานดังกล่าวต้องผ่านผู้มีคุณสมบัติและอำนาจตามวิชาชีพ รวมถึงกระบวนการอนุมัติขององค์กรก่อนนำไปใช้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21"/>
      </w:tblGrid>
      <w:tr>
        <w:trPr>
          <w:cantSplit/>
        </w:trPr>
        <w:tc>
          <w:tcPr>
            <w:tcW w:type="dxa" w:w="9721"/>
            <w:shd w:fill="EDF3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หลักฐานสำคัญกว่าคำว่า human-in-the-loop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องค์กรควรกำหนดว่าใครตรวจอะไร ใช้หลักฐานใด มีอำนาจหยุดหรือแก้ผลลัพธ์หรือไม่ และเก็บร่องรอยการทบทวนอย่างไร</w:t>
            </w:r>
          </w:p>
        </w:tc>
      </w:tr>
    </w:tbl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07 / TOOLS</w:t>
      </w:r>
    </w:p>
    <w:p>
      <w:pPr>
        <w:spacing w:after="24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การอนุมัติเครื่องมือและการเชื่อมระบบ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16. รายการเครื่องมือที่อนุมัติ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ใช้เฉพาะเครื่องมือ รุ่น แผนบริการ และบัญชีที่อยู่ใน [รายการเครื่องมือที่อนุมัติ] ตามประเภทข้อมูลและกรณีใช้งานที่ระบุ การอนุมัติชื่อผลิตภัณฑ์หนึ่งไม่ได้หมายถึงอนุมัติทุกฟีเจอร์ ส่วนเสริม หรือการเชื่อมต่อของผลิตภัณฑ์นั้น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17. การประเมินผู้ให้บริการขั้นต่ำ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☐ ข้อมูลถูกใช้ฝึกโมเดลหรือไม่ ปิดได้จริงหรือไม่ และเงื่อนไขต่างกันตามแผนบริการอย่างไร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☐ ระยะเวลาเก็บข้อมูล วิธีลบข้อมูล สำเนาสำรอง และข้อมูลที่ผู้ให้บริการบันทึก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☐ สถานที่ประมวลผล ผู้รับช่วงประมวลผล และกลไกการส่งข้อมูลไปต่างประเทศ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☐ การเข้ารหัส SSO/MFA การกำหนดสิทธิ์ audit log การแจ้งเหตุ และการรับรองด้านความปลอดภัย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☐ กรรมสิทธิ์ input/output ใบอนุญาต ข้อจำกัดการใช้งาน การชดใช้ความเสียหาย และข้อจำกัดความรับผิด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☐ ความพร้อมใช้งาน การเปลี่ยนรุ่นโมเดล ความสามารถในการย้ายข้อมูลออก และแผนยุติการใช้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18. การเชื่อมระบบและ Agent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ห้ามเชื่อม AI กับอีเมล ไฟล์ ฐานข้อมูล ระบบลูกค้า ระบบการเงิน หรือระบบปฏิบัติการโดยไม่ได้รับอนุมัติเป็นลายลักษณ์อักษร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กำหนดสิทธิ์ต่ำสุด ขอบเขตคำสั่ง วงเงิน/ผลกระทบ จุดอนุมัติของมนุษย์ การบันทึก log และวิธีหยุดระบบฉุกเฉิน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ทดสอบในสภาพแวดล้อมแยกก่อนใช้งานจริง และไม่ใช้ข้อมูลจริงหากข้อมูลจำลองเพียงพอ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ทบทวนสิทธิ์และ integration เมื่อเปลี่ยนเจ้าของงาน ผู้ให้บริการ โมเดล หรือวัตถุประสงค์</w:t>
      </w:r>
    </w:p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08 / INCIDENTS</w:t>
      </w:r>
    </w:p>
    <w:p>
      <w:pPr>
        <w:spacing w:after="24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เมื่อเกิดเหตุ ให้หยุดและรายงานเร็ว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19. เหตุที่ต้องรายงาน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ป้อนข้อมูลผิดระดับ ข้อมูลส่วนบุคคล ความลับ รหัสผ่าน หรือข้อมูลของบุคคลที่สามโดยไม่ได้รับอนุญาต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พบผลลัพธ์ที่อาจเลือกปฏิบัติ หมิ่นประมาท ละเมิดสิทธิ ไม่ปลอดภัย หรือทำให้ผู้รับเข้าใจผิด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AI ดำเนินการนอกขอบเขต ส่งข้อความ แก้ข้อมูล หรือเรียกใช้ระบบโดยไม่คาดหมาย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สงสัยว่าบัญชีถูกเข้าถึงโดยมิชอบ มีข้อมูลรั่วไหล หรือผู้ให้บริการเปลี่ยนเงื่อนไขสำคัญ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20. ขั้นตอนทันที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8856"/>
      </w:tblGrid>
      <w:tr>
        <w:trPr>
          <w:cantSplit/>
        </w:trPr>
        <w:tc>
          <w:tcPr>
            <w:tcW w:type="dxa" w:w="4860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Sarabun" w:hAnsi="Sarabun" w:cs="Sarabun" w:eastAsia="Sarabun"/>
                <w:b/>
                <w:i w:val="0"/>
                <w:color w:val="FFFFFF"/>
                <w:sz w:val="24"/>
                <w:cs/>
              </w:rPr>
              <w:t>01</w:t>
            </w:r>
          </w:p>
        </w:tc>
        <w:tc>
          <w:tcPr>
            <w:tcW w:type="dxa" w:w="4860"/>
            <w:tcMar>
              <w:top w:w="65" w:type="dxa"/>
              <w:start w:w="120" w:type="dxa"/>
              <w:bottom w:w="6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หยุด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หยุดการใช้ การเผยแพร่ หรือการเชื่อมระบบที่เกี่ยวข้อง และอย่าพยายามแก้เหตุด้วยการลบหลักฐาน</w:t>
            </w:r>
          </w:p>
        </w:tc>
      </w:tr>
    </w:tbl>
    <w:p>
      <w:pPr>
        <w:spacing w:before="0" w:after="20"/>
      </w:pPr>
      <w:r>
        <w:rPr>
          <w:rFonts w:ascii="Sarabun" w:hAnsi="Sarabun" w:cs="Sarabun" w:eastAsia="Sarabun"/>
          <w:b w:val="0"/>
          <w:i w:val="0"/>
          <w:cs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8856"/>
      </w:tblGrid>
      <w:tr>
        <w:trPr>
          <w:cantSplit/>
        </w:trPr>
        <w:tc>
          <w:tcPr>
            <w:tcW w:type="dxa" w:w="4860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Sarabun" w:hAnsi="Sarabun" w:cs="Sarabun" w:eastAsia="Sarabun"/>
                <w:b/>
                <w:i w:val="0"/>
                <w:color w:val="FFFFFF"/>
                <w:sz w:val="24"/>
                <w:cs/>
              </w:rPr>
              <w:t>02</w:t>
            </w:r>
          </w:p>
        </w:tc>
        <w:tc>
          <w:tcPr>
            <w:tcW w:type="dxa" w:w="4860"/>
            <w:tcMar>
              <w:top w:w="65" w:type="dxa"/>
              <w:start w:w="120" w:type="dxa"/>
              <w:bottom w:w="6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จำกัดผลกระทบ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หากเป็น credential ให้เพิกถอนหรือเปลี่ยนตามขั้นตอนฉุกเฉิน; หากเป็นงานเผยแพร่ให้ระงับหรือเรียกคืนเมื่อทำได้</w:t>
            </w:r>
          </w:p>
        </w:tc>
      </w:tr>
    </w:tbl>
    <w:p>
      <w:pPr>
        <w:spacing w:before="0" w:after="20"/>
      </w:pPr>
      <w:r>
        <w:rPr>
          <w:rFonts w:ascii="Sarabun" w:hAnsi="Sarabun" w:cs="Sarabun" w:eastAsia="Sarabun"/>
          <w:b w:val="0"/>
          <w:i w:val="0"/>
          <w:cs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8856"/>
      </w:tblGrid>
      <w:tr>
        <w:trPr>
          <w:cantSplit/>
        </w:trPr>
        <w:tc>
          <w:tcPr>
            <w:tcW w:type="dxa" w:w="4860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Sarabun" w:hAnsi="Sarabun" w:cs="Sarabun" w:eastAsia="Sarabun"/>
                <w:b/>
                <w:i w:val="0"/>
                <w:color w:val="FFFFFF"/>
                <w:sz w:val="24"/>
                <w:cs/>
              </w:rPr>
              <w:t>03</w:t>
            </w:r>
          </w:p>
        </w:tc>
        <w:tc>
          <w:tcPr>
            <w:tcW w:type="dxa" w:w="4860"/>
            <w:tcMar>
              <w:top w:w="65" w:type="dxa"/>
              <w:start w:w="120" w:type="dxa"/>
              <w:bottom w:w="6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รายงาน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แจ้ง [ช่องทางรายงานเหตุ] พร้อมเวลา เครื่องมือ บัญชี ประเภทข้อมูล ผู้รับ และสิ่งที่เกิดขึ้น</w:t>
            </w:r>
          </w:p>
        </w:tc>
      </w:tr>
    </w:tbl>
    <w:p>
      <w:pPr>
        <w:spacing w:before="0" w:after="20"/>
      </w:pPr>
      <w:r>
        <w:rPr>
          <w:rFonts w:ascii="Sarabun" w:hAnsi="Sarabun" w:cs="Sarabun" w:eastAsia="Sarabun"/>
          <w:b w:val="0"/>
          <w:i w:val="0"/>
          <w:cs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8856"/>
      </w:tblGrid>
      <w:tr>
        <w:trPr>
          <w:cantSplit/>
        </w:trPr>
        <w:tc>
          <w:tcPr>
            <w:tcW w:type="dxa" w:w="4860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Sarabun" w:hAnsi="Sarabun" w:cs="Sarabun" w:eastAsia="Sarabun"/>
                <w:b/>
                <w:i w:val="0"/>
                <w:color w:val="FFFFFF"/>
                <w:sz w:val="24"/>
                <w:cs/>
              </w:rPr>
              <w:t>04</w:t>
            </w:r>
          </w:p>
        </w:tc>
        <w:tc>
          <w:tcPr>
            <w:tcW w:type="dxa" w:w="4860"/>
            <w:tcMar>
              <w:top w:w="65" w:type="dxa"/>
              <w:start w:w="120" w:type="dxa"/>
              <w:bottom w:w="6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เก็บหลักฐาน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เก็บ prompt, output, ลิงก์, screenshot, log และการดำเนินการที่ทำแล้วตามคำแนะนำของทีมรับเหตุ</w:t>
            </w:r>
          </w:p>
        </w:tc>
      </w:tr>
    </w:tbl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21. การประเมินและแจ้งเหตุ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IT/Security, Privacy/DPO, Legal และเจ้าของข้อมูลร่วมประเมินผลกระทบ การแจ้งเจ้าของข้อมูล/คู่สัญญา/หน่วยงานกำกับ การแก้ไข และบทเรียนตามกฎหมาย สัญญา และแผนตอบสนองเหตุขององค์กร</w:t>
      </w:r>
    </w:p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09 / GOVERN</w:t>
      </w:r>
    </w:p>
    <w:p>
      <w:pPr>
        <w:spacing w:after="24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การบันทึก ข้อยกเว้น วินัย และการทบทวน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22. การเก็บบันทึก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เก็บบันทึกเท่าที่เหมาะกับความเสี่ยง เช่น วัตถุประสงค์ เจ้าของงาน เครื่องมือ/รุ่น ประเภทข้อมูล การอนุมัติ prompt/output ที่จำเป็น ผู้ตรวจทาน การตัดสินใจ และเหตุการณ์ผิดปกติ โดยเป็นไปตามตารางเก็บรักษาข้อมูลขององค์กร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23. ข้อยกเว้น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ข้อยกเว้นต้องขอเป็นลายลักษณ์อักษร ระบุเหตุผล ขอบเขต ระยะเวลา ผู้รับผิดชอบ และมาตรการทดแทน และได้รับอนุมัติจาก [ผู้มีอำนาจ] ก่อนเริ่มใช้งาน ข้อยกเว้นหมดอายุโดยอัตโนมัติเมื่อครบกำหนด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24. การไม่ปฏิบัติตาม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การไม่ปฏิบัติตามอาจทำให้องค์กรระงับสิทธิ์ใช้เครื่องมือ สั่งแก้ไข อบรมเพิ่มเติม หรือดำเนินการทางวินัยตามข้อบังคับการทำงาน สัญญา และกฎหมาย โดยพิจารณาความร้ายแรง เจตนา ผลกระทบ และการรายงานโดยสุจริตอย่างเป็นธรรม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ห้ามตอบโต้ผู้ที่รายงานข้อกังวลโดยสุจริตหรือให้ความร่วมมือในการตรวจสอบ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25. การทบทวน</w:t>
      </w:r>
    </w:p>
    <w:p>
      <w:pPr>
        <w:spacing w:before="0" w:after="80"/>
      </w:pPr>
      <w:r>
        <w:rPr>
          <w:rFonts w:ascii="Sarabun" w:hAnsi="Sarabun" w:cs="Sarabun" w:eastAsia="Sarabun"/>
          <w:b w:val="0"/>
          <w:i w:val="0"/>
          <w:cs/>
        </w:rPr>
        <w:t>เจ้าของนโยบายทบทวนอย่างน้อยปีละ 1 ครั้ง และเมื่อเกิดเหตุสำคัญ มีการเพิ่มเครื่องมือ/การเชื่อมระบบ เปลี่ยนข้อกำหนดของผู้ให้บริการ หรือกฎหมาย/แนวทางกำกับเปลี่ยนแปลง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การรับทราบ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8D3C8"/>
          <w:left w:val="single" w:sz="5" w:color="D8D3C8"/>
          <w:bottom w:val="single" w:sz="5" w:color="D8D3C8"/>
          <w:right w:val="single" w:sz="5" w:color="D8D3C8"/>
          <w:insideH w:val="single" w:sz="5" w:color="D8D3C8"/>
          <w:insideV w:val="single" w:sz="5" w:color="D8D3C8"/>
        </w:tblBorders>
      </w:tblPr>
      <w:tblGrid>
        <w:gridCol w:w="3096"/>
        <w:gridCol w:w="6552"/>
      </w:tblGrid>
      <w:tr>
        <w:trPr>
          <w:cantSplit/>
        </w:trPr>
        <w:tc>
          <w:tcPr>
            <w:tcW w:type="dxa" w:w="4860"/>
            <w:tcMar>
              <w:top w:w="100" w:type="dxa"/>
              <w:start w:w="110" w:type="dxa"/>
              <w:bottom w:w="100" w:type="dxa"/>
              <w:end w:w="110" w:type="dxa"/>
            </w:tcMar>
            <w:shd w:fill="10233C"/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7"/>
                <w:cs/>
              </w:rPr>
              <w:t>ผู้อนุมัติ</w:t>
            </w:r>
          </w:p>
        </w:tc>
        <w:tc>
          <w:tcPr>
            <w:tcW w:type="dxa" w:w="4860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10233C"/>
                <w:sz w:val="17"/>
                <w:cs/>
              </w:rPr>
              <w:t>[ชื่อ / ตำแหน่ง]</w:t>
            </w:r>
          </w:p>
        </w:tc>
      </w:tr>
      <w:tr>
        <w:trPr>
          <w:cantSplit/>
        </w:trPr>
        <w:tc>
          <w:tcPr>
            <w:tcW w:type="dxa" w:w="4860"/>
            <w:tcMar>
              <w:top w:w="100" w:type="dxa"/>
              <w:start w:w="110" w:type="dxa"/>
              <w:bottom w:w="100" w:type="dxa"/>
              <w:end w:w="110" w:type="dxa"/>
            </w:tcMar>
            <w:shd w:fill="10233C"/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7"/>
                <w:cs/>
              </w:rPr>
              <w:t>ลายมือชื่อ / วันที่</w:t>
            </w:r>
          </w:p>
        </w:tc>
        <w:tc>
          <w:tcPr>
            <w:tcW w:type="dxa" w:w="4860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10233C"/>
                <w:sz w:val="17"/>
                <w:cs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860"/>
            <w:tcMar>
              <w:top w:w="100" w:type="dxa"/>
              <w:start w:w="110" w:type="dxa"/>
              <w:bottom w:w="100" w:type="dxa"/>
              <w:end w:w="110" w:type="dxa"/>
            </w:tcMar>
            <w:shd w:fill="10233C"/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7"/>
                <w:cs/>
              </w:rPr>
              <w:t>ประกาศใช้ผ่าน</w:t>
            </w:r>
          </w:p>
        </w:tc>
        <w:tc>
          <w:tcPr>
            <w:tcW w:type="dxa" w:w="4860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10233C"/>
                <w:sz w:val="17"/>
                <w:cs/>
              </w:rPr>
              <w:t>[ช่องทาง / ระบบนโยบาย]</w:t>
            </w:r>
          </w:p>
        </w:tc>
      </w:tr>
    </w:tbl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10 / ONE PAGE</w:t>
      </w:r>
    </w:p>
    <w:p>
      <w:pPr>
        <w:spacing w:after="24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คู่มือ 60 วินาทีก่อนส่งข้อมูลให้ AI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8856"/>
      </w:tblGrid>
      <w:tr>
        <w:trPr>
          <w:cantSplit/>
        </w:trPr>
        <w:tc>
          <w:tcPr>
            <w:tcW w:type="dxa" w:w="4860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Sarabun" w:hAnsi="Sarabun" w:cs="Sarabun" w:eastAsia="Sarabun"/>
                <w:b/>
                <w:i w:val="0"/>
                <w:color w:val="FFFFFF"/>
                <w:sz w:val="24"/>
                <w:cs/>
              </w:rPr>
              <w:t>01</w:t>
            </w:r>
          </w:p>
        </w:tc>
        <w:tc>
          <w:tcPr>
            <w:tcW w:type="dxa" w:w="4860"/>
            <w:tcMar>
              <w:top w:w="65" w:type="dxa"/>
              <w:start w:w="120" w:type="dxa"/>
              <w:bottom w:w="6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เครื่องมือนี้ได้รับอนุมัติหรือยัง?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ชื่อเดียวกันแต่คนละแผนบริการ ฟีเจอร์ หรือบัญชี อาจมีกติกาต่างกัน</w:t>
            </w:r>
          </w:p>
        </w:tc>
      </w:tr>
    </w:tbl>
    <w:p>
      <w:pPr>
        <w:spacing w:before="0" w:after="20"/>
      </w:pPr>
      <w:r>
        <w:rPr>
          <w:rFonts w:ascii="Sarabun" w:hAnsi="Sarabun" w:cs="Sarabun" w:eastAsia="Sarabun"/>
          <w:b w:val="0"/>
          <w:i w:val="0"/>
          <w:cs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8856"/>
      </w:tblGrid>
      <w:tr>
        <w:trPr>
          <w:cantSplit/>
        </w:trPr>
        <w:tc>
          <w:tcPr>
            <w:tcW w:type="dxa" w:w="4860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Sarabun" w:hAnsi="Sarabun" w:cs="Sarabun" w:eastAsia="Sarabun"/>
                <w:b/>
                <w:i w:val="0"/>
                <w:color w:val="FFFFFF"/>
                <w:sz w:val="24"/>
                <w:cs/>
              </w:rPr>
              <w:t>02</w:t>
            </w:r>
          </w:p>
        </w:tc>
        <w:tc>
          <w:tcPr>
            <w:tcW w:type="dxa" w:w="4860"/>
            <w:tcMar>
              <w:top w:w="65" w:type="dxa"/>
              <w:start w:w="120" w:type="dxa"/>
              <w:bottom w:w="6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ข้อมูลอยู่ระดับใด?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ถ้ามีข้อมูลลับ ข้อมูลส่วนบุคคล ข้อมูลลูกค้า หรือ credential ให้หยุดและตรวจเงื่อนไขก่อน</w:t>
            </w:r>
          </w:p>
        </w:tc>
      </w:tr>
    </w:tbl>
    <w:p>
      <w:pPr>
        <w:spacing w:before="0" w:after="20"/>
      </w:pPr>
      <w:r>
        <w:rPr>
          <w:rFonts w:ascii="Sarabun" w:hAnsi="Sarabun" w:cs="Sarabun" w:eastAsia="Sarabun"/>
          <w:b w:val="0"/>
          <w:i w:val="0"/>
          <w:cs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8856"/>
      </w:tblGrid>
      <w:tr>
        <w:trPr>
          <w:cantSplit/>
        </w:trPr>
        <w:tc>
          <w:tcPr>
            <w:tcW w:type="dxa" w:w="4860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Sarabun" w:hAnsi="Sarabun" w:cs="Sarabun" w:eastAsia="Sarabun"/>
                <w:b/>
                <w:i w:val="0"/>
                <w:color w:val="FFFFFF"/>
                <w:sz w:val="24"/>
                <w:cs/>
              </w:rPr>
              <w:t>03</w:t>
            </w:r>
          </w:p>
        </w:tc>
        <w:tc>
          <w:tcPr>
            <w:tcW w:type="dxa" w:w="4860"/>
            <w:tcMar>
              <w:top w:w="65" w:type="dxa"/>
              <w:start w:w="120" w:type="dxa"/>
              <w:bottom w:w="6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เรามีสิทธิใช้ข้อมูลนี้หรือไม่?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ตรวจ NDA สัญญา ลิขสิทธิ์ สิทธิในภาพ/เสียง และวัตถุประสงค์ที่เจ้าของข้อมูลได้รับแจ้ง</w:t>
            </w:r>
          </w:p>
        </w:tc>
      </w:tr>
    </w:tbl>
    <w:p>
      <w:pPr>
        <w:spacing w:before="0" w:after="20"/>
      </w:pPr>
      <w:r>
        <w:rPr>
          <w:rFonts w:ascii="Sarabun" w:hAnsi="Sarabun" w:cs="Sarabun" w:eastAsia="Sarabun"/>
          <w:b w:val="0"/>
          <w:i w:val="0"/>
          <w:cs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8856"/>
      </w:tblGrid>
      <w:tr>
        <w:trPr>
          <w:cantSplit/>
        </w:trPr>
        <w:tc>
          <w:tcPr>
            <w:tcW w:type="dxa" w:w="4860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Sarabun" w:hAnsi="Sarabun" w:cs="Sarabun" w:eastAsia="Sarabun"/>
                <w:b/>
                <w:i w:val="0"/>
                <w:color w:val="FFFFFF"/>
                <w:sz w:val="24"/>
                <w:cs/>
              </w:rPr>
              <w:t>04</w:t>
            </w:r>
          </w:p>
        </w:tc>
        <w:tc>
          <w:tcPr>
            <w:tcW w:type="dxa" w:w="4860"/>
            <w:tcMar>
              <w:top w:w="65" w:type="dxa"/>
              <w:start w:w="120" w:type="dxa"/>
              <w:bottom w:w="6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ผลลัพธ์จะกระทบใคร?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ถ้ากระทบบุคลากร ลูกค้า เงิน สุขภาพ ความปลอดภัย หรือสิทธิ ต้องยกระดับการอนุมัติ</w:t>
            </w:r>
          </w:p>
        </w:tc>
      </w:tr>
    </w:tbl>
    <w:p>
      <w:pPr>
        <w:spacing w:before="0" w:after="20"/>
      </w:pPr>
      <w:r>
        <w:rPr>
          <w:rFonts w:ascii="Sarabun" w:hAnsi="Sarabun" w:cs="Sarabun" w:eastAsia="Sarabun"/>
          <w:b w:val="0"/>
          <w:i w:val="0"/>
          <w:cs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8856"/>
      </w:tblGrid>
      <w:tr>
        <w:trPr>
          <w:cantSplit/>
        </w:trPr>
        <w:tc>
          <w:tcPr>
            <w:tcW w:type="dxa" w:w="4860"/>
            <w:shd w:fill="10233C"/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Sarabun" w:hAnsi="Sarabun" w:cs="Sarabun" w:eastAsia="Sarabun"/>
                <w:b/>
                <w:i w:val="0"/>
                <w:color w:val="FFFFFF"/>
                <w:sz w:val="24"/>
                <w:cs/>
              </w:rPr>
              <w:t>05</w:t>
            </w:r>
          </w:p>
        </w:tc>
        <w:tc>
          <w:tcPr>
            <w:tcW w:type="dxa" w:w="4860"/>
            <w:tcMar>
              <w:top w:w="65" w:type="dxa"/>
              <w:start w:w="120" w:type="dxa"/>
              <w:bottom w:w="65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20"/>
                <w:cs/>
              </w:rPr>
              <w:t>ใครจะตรวจและรับผิดชอบ?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ต้องมีผู้ตรวจทานที่เข้าใจเนื้อหา มีอำนาจแก้หรือหยุด และรับผิดชอบผลลัพธ์สุดท้าย</w:t>
            </w:r>
          </w:p>
        </w:tc>
      </w:tr>
    </w:tbl>
    <w:p>
      <w:pPr>
        <w:spacing w:before="0" w:after="20"/>
      </w:pPr>
      <w:r>
        <w:rPr>
          <w:rFonts w:ascii="Sarabun" w:hAnsi="Sarabun" w:cs="Sarabun" w:eastAsia="Sarabun"/>
          <w:b w:val="0"/>
          <w:i w:val="0"/>
          <w:cs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21"/>
      </w:tblGrid>
      <w:tr>
        <w:trPr>
          <w:cantSplit/>
        </w:trPr>
        <w:tc>
          <w:tcPr>
            <w:tcW w:type="dxa" w:w="9721"/>
            <w:shd w:fill="FFF6E2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B07010"/>
                <w:sz w:val="20"/>
                <w:cs/>
              </w:rPr>
              <w:t>กติกาจำง่าย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7"/>
                <w:cs/>
              </w:rPr>
              <w:t>PUBLIC + APPROVED + REVIEWED = เริ่มได้  |  INTERNAL/PERSONAL = ขออนุมัติ  |  SECRET/CREDENTIAL = ห้ามป้อน</w:t>
            </w:r>
          </w:p>
        </w:tc>
      </w:tr>
    </w:tbl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11 / IMPLEMENT</w:t>
      </w:r>
    </w:p>
    <w:p>
      <w:pPr>
        <w:spacing w:after="24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เช็กลิสต์ก่อนเปิดใช้ในองค์กร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8D3C8"/>
          <w:left w:val="single" w:sz="5" w:color="D8D3C8"/>
          <w:bottom w:val="single" w:sz="5" w:color="D8D3C8"/>
          <w:right w:val="single" w:sz="5" w:color="D8D3C8"/>
          <w:insideH w:val="single" w:sz="5" w:color="D8D3C8"/>
          <w:insideV w:val="single" w:sz="5" w:color="D8D3C8"/>
        </w:tblBorders>
      </w:tblPr>
      <w:tblGrid>
        <w:gridCol w:w="3240"/>
        <w:gridCol w:w="3240"/>
        <w:gridCol w:w="3240"/>
      </w:tblGrid>
      <w:tr>
        <w:tc>
          <w:tcPr>
            <w:tcW w:type="dxa" w:w="691"/>
            <w:shd w:fill="10233C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6"/>
                <w:cs/>
              </w:rPr>
            </w:r>
          </w:p>
        </w:tc>
        <w:tc>
          <w:tcPr>
            <w:tcW w:type="dxa" w:w="1872"/>
            <w:shd w:fill="10233C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6"/>
                <w:cs/>
              </w:rPr>
              <w:t>หัวข้อ</w:t>
            </w:r>
          </w:p>
        </w:tc>
        <w:tc>
          <w:tcPr>
            <w:tcW w:type="dxa" w:w="7085"/>
            <w:shd w:fill="10233C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FFFFFF"/>
                <w:sz w:val="16"/>
                <w:cs/>
              </w:rPr>
              <w:t>พร้อมเมื่อ</w:t>
            </w:r>
          </w:p>
        </w:tc>
      </w:tr>
      <w:tr>
        <w:trPr>
          <w:cantSplit/>
        </w:trPr>
        <w:tc>
          <w:tcPr>
            <w:tcW w:type="dxa" w:w="691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B59150"/>
                <w:sz w:val="20"/>
                <w:cs/>
              </w:rPr>
              <w:t>☐</w:t>
            </w:r>
          </w:p>
        </w:tc>
        <w:tc>
          <w:tcPr>
            <w:tcW w:type="dxa" w:w="1872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เจ้าของ</w:t>
            </w:r>
          </w:p>
        </w:tc>
        <w:tc>
          <w:tcPr>
            <w:tcW w:type="dxa" w:w="7085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แต่งตั้งเจ้าของนโยบาย ผู้อนุมัติเครื่องมือ ผู้รับเหตุ และผู้ตัดสินข้อยกเว้น</w:t>
            </w:r>
          </w:p>
        </w:tc>
      </w:tr>
      <w:tr>
        <w:trPr>
          <w:cantSplit/>
        </w:trPr>
        <w:tc>
          <w:tcPr>
            <w:tcW w:type="dxa" w:w="691"/>
            <w:tcMar>
              <w:top w:w="82" w:type="dxa"/>
              <w:start w:w="110" w:type="dxa"/>
              <w:bottom w:w="82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B59150"/>
                <w:sz w:val="20"/>
                <w:cs/>
              </w:rPr>
              <w:t>☐</w:t>
            </w:r>
          </w:p>
        </w:tc>
        <w:tc>
          <w:tcPr>
            <w:tcW w:type="dxa" w:w="1872"/>
            <w:tcMar>
              <w:top w:w="82" w:type="dxa"/>
              <w:start w:w="110" w:type="dxa"/>
              <w:bottom w:w="82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เครื่องมือ</w:t>
            </w:r>
          </w:p>
        </w:tc>
        <w:tc>
          <w:tcPr>
            <w:tcW w:type="dxa" w:w="7085"/>
            <w:tcMar>
              <w:top w:w="82" w:type="dxa"/>
              <w:start w:w="110" w:type="dxa"/>
              <w:bottom w:w="82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เผยแพร่รายการเครื่องมือ/บัญชี/ฟีเจอร์ที่อนุมัติ พร้อมประเภทข้อมูลและกรณีใช้งาน</w:t>
            </w:r>
          </w:p>
        </w:tc>
      </w:tr>
      <w:tr>
        <w:trPr>
          <w:cantSplit/>
        </w:trPr>
        <w:tc>
          <w:tcPr>
            <w:tcW w:type="dxa" w:w="691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B59150"/>
                <w:sz w:val="20"/>
                <w:cs/>
              </w:rPr>
              <w:t>☐</w:t>
            </w:r>
          </w:p>
        </w:tc>
        <w:tc>
          <w:tcPr>
            <w:tcW w:type="dxa" w:w="1872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ข้อมูล</w:t>
            </w:r>
          </w:p>
        </w:tc>
        <w:tc>
          <w:tcPr>
            <w:tcW w:type="dxa" w:w="7085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ผูกกับ data classification, PDPA, NDA, retention และการส่งข้อมูลไปต่างประเทศ</w:t>
            </w:r>
          </w:p>
        </w:tc>
      </w:tr>
      <w:tr>
        <w:trPr>
          <w:cantSplit/>
        </w:trPr>
        <w:tc>
          <w:tcPr>
            <w:tcW w:type="dxa" w:w="691"/>
            <w:tcMar>
              <w:top w:w="82" w:type="dxa"/>
              <w:start w:w="110" w:type="dxa"/>
              <w:bottom w:w="82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B59150"/>
                <w:sz w:val="20"/>
                <w:cs/>
              </w:rPr>
              <w:t>☐</w:t>
            </w:r>
          </w:p>
        </w:tc>
        <w:tc>
          <w:tcPr>
            <w:tcW w:type="dxa" w:w="1872"/>
            <w:tcMar>
              <w:top w:w="82" w:type="dxa"/>
              <w:start w:w="110" w:type="dxa"/>
              <w:bottom w:w="82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บุคลากร</w:t>
            </w:r>
          </w:p>
        </w:tc>
        <w:tc>
          <w:tcPr>
            <w:tcW w:type="dxa" w:w="7085"/>
            <w:tcMar>
              <w:top w:w="82" w:type="dxa"/>
              <w:start w:w="110" w:type="dxa"/>
              <w:bottom w:w="82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กำหนดขั้นตอนพิเศษสำหรับงาน HR และการตัดสินใจที่มีผลกระทบสูง</w:t>
            </w:r>
          </w:p>
        </w:tc>
      </w:tr>
      <w:tr>
        <w:trPr>
          <w:cantSplit/>
        </w:trPr>
        <w:tc>
          <w:tcPr>
            <w:tcW w:type="dxa" w:w="691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B59150"/>
                <w:sz w:val="20"/>
                <w:cs/>
              </w:rPr>
              <w:t>☐</w:t>
            </w:r>
          </w:p>
        </w:tc>
        <w:tc>
          <w:tcPr>
            <w:tcW w:type="dxa" w:w="1872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ผู้ให้บริการ</w:t>
            </w:r>
          </w:p>
        </w:tc>
        <w:tc>
          <w:tcPr>
            <w:tcW w:type="dxa" w:w="7085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ประเมิน security, privacy, training use, retention, IP, subprocessors และ exit plan</w:t>
            </w:r>
          </w:p>
        </w:tc>
      </w:tr>
      <w:tr>
        <w:trPr>
          <w:cantSplit/>
        </w:trPr>
        <w:tc>
          <w:tcPr>
            <w:tcW w:type="dxa" w:w="691"/>
            <w:tcMar>
              <w:top w:w="82" w:type="dxa"/>
              <w:start w:w="110" w:type="dxa"/>
              <w:bottom w:w="82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B59150"/>
                <w:sz w:val="20"/>
                <w:cs/>
              </w:rPr>
              <w:t>☐</w:t>
            </w:r>
          </w:p>
        </w:tc>
        <w:tc>
          <w:tcPr>
            <w:tcW w:type="dxa" w:w="1872"/>
            <w:tcMar>
              <w:top w:w="82" w:type="dxa"/>
              <w:start w:w="110" w:type="dxa"/>
              <w:bottom w:w="82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การเชื่อมระบบ</w:t>
            </w:r>
          </w:p>
        </w:tc>
        <w:tc>
          <w:tcPr>
            <w:tcW w:type="dxa" w:w="7085"/>
            <w:tcMar>
              <w:top w:w="82" w:type="dxa"/>
              <w:start w:w="110" w:type="dxa"/>
              <w:bottom w:w="82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กำหนดสิทธิ์ต่ำสุด approval gate, log, limit และ kill switch สำหรับ automation/agent</w:t>
            </w:r>
          </w:p>
        </w:tc>
      </w:tr>
      <w:tr>
        <w:trPr>
          <w:cantSplit/>
        </w:trPr>
        <w:tc>
          <w:tcPr>
            <w:tcW w:type="dxa" w:w="691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B59150"/>
                <w:sz w:val="20"/>
                <w:cs/>
              </w:rPr>
              <w:t>☐</w:t>
            </w:r>
          </w:p>
        </w:tc>
        <w:tc>
          <w:tcPr>
            <w:tcW w:type="dxa" w:w="1872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การอบรม</w:t>
            </w:r>
          </w:p>
        </w:tc>
        <w:tc>
          <w:tcPr>
            <w:tcW w:type="dxa" w:w="7085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ใช้ตัวอย่าง prompt และข้อมูลจากงานจริงของแต่ละทีม ไม่สอนเพียงฟีเจอร์ของเครื่องมือ</w:t>
            </w:r>
          </w:p>
        </w:tc>
      </w:tr>
      <w:tr>
        <w:trPr>
          <w:cantSplit/>
        </w:trPr>
        <w:tc>
          <w:tcPr>
            <w:tcW w:type="dxa" w:w="691"/>
            <w:tcMar>
              <w:top w:w="82" w:type="dxa"/>
              <w:start w:w="110" w:type="dxa"/>
              <w:bottom w:w="82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B59150"/>
                <w:sz w:val="20"/>
                <w:cs/>
              </w:rPr>
              <w:t>☐</w:t>
            </w:r>
          </w:p>
        </w:tc>
        <w:tc>
          <w:tcPr>
            <w:tcW w:type="dxa" w:w="1872"/>
            <w:tcMar>
              <w:top w:w="82" w:type="dxa"/>
              <w:start w:w="110" w:type="dxa"/>
              <w:bottom w:w="82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การวัดผล</w:t>
            </w:r>
          </w:p>
        </w:tc>
        <w:tc>
          <w:tcPr>
            <w:tcW w:type="dxa" w:w="7085"/>
            <w:tcMar>
              <w:top w:w="82" w:type="dxa"/>
              <w:start w:w="110" w:type="dxa"/>
              <w:bottom w:w="82" w:type="dxa"/>
              <w:end w:w="110" w:type="dxa"/>
            </w:tcMar>
            <w:shd w:fill="F3F0E9"/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กำหนด baseline, quality, adoption, incident และ value ก่อนขยายผล</w:t>
            </w:r>
          </w:p>
        </w:tc>
      </w:tr>
      <w:tr>
        <w:trPr>
          <w:cantSplit/>
        </w:trPr>
        <w:tc>
          <w:tcPr>
            <w:tcW w:type="dxa" w:w="691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B59150"/>
                <w:sz w:val="20"/>
                <w:cs/>
              </w:rPr>
              <w:t>☐</w:t>
            </w:r>
          </w:p>
        </w:tc>
        <w:tc>
          <w:tcPr>
            <w:tcW w:type="dxa" w:w="1872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10233C"/>
                <w:sz w:val="16"/>
                <w:cs/>
              </w:rPr>
              <w:t>การทบทวน</w:t>
            </w:r>
          </w:p>
        </w:tc>
        <w:tc>
          <w:tcPr>
            <w:tcW w:type="dxa" w:w="7085"/>
            <w:tcMar>
              <w:top w:w="82" w:type="dxa"/>
              <w:start w:w="110" w:type="dxa"/>
              <w:bottom w:w="82" w:type="dxa"/>
              <w:end w:w="110" w:type="dxa"/>
            </w:tcMar>
          </w:tcPr>
          <w:p>
            <w:r>
              <w:rPr>
                <w:rFonts w:ascii="Sarabun" w:hAnsi="Sarabun" w:cs="Sarabun" w:eastAsia="Sarabun"/>
                <w:b w:val="0"/>
                <w:i w:val="0"/>
                <w:color w:val="536071"/>
                <w:sz w:val="16"/>
                <w:cs/>
              </w:rPr>
              <w:t>กำหนดรอบตรวจรายการเครื่องมือ เหตุการณ์ เงื่อนไขผู้ให้บริการ และกฎหมาย/แนวทางใหม่</w:t>
            </w:r>
          </w:p>
        </w:tc>
      </w:tr>
    </w:tbl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สิ่งที่ควรแยกเป็นเอกสารประกอบ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รายการเครื่องมือที่อนุมัติและเงื่อนไขรายเครื่องมือ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แบบฟอร์มขออนุมัติ use case / integration / exception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คู่มือจัดชั้นข้อมูลและตัวอย่าง prompt ที่ปลอดภัย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ขั้นตอนรายงานเหตุและผู้ติดต่อฉุกเฉิน</w:t>
      </w:r>
    </w:p>
    <w:p>
      <w:pPr>
        <w:pStyle w:val="ListBullet"/>
        <w:spacing w:after="40"/>
        <w:ind w:left="331" w:hanging="202"/>
      </w:pPr>
      <w:r>
        <w:rPr>
          <w:rFonts w:ascii="Sarabun" w:hAnsi="Sarabun" w:cs="Sarabun" w:eastAsia="Sarabun"/>
          <w:b w:val="0"/>
          <w:i w:val="0"/>
          <w:color w:val="536071"/>
          <w:sz w:val="18"/>
          <w:cs/>
        </w:rPr>
        <w:t>แบบบันทึก human review สำหรับงานผลกระทบสูง</w:t>
      </w:r>
    </w:p>
    <w:p>
      <w:r>
        <w:br w:type="page"/>
      </w:r>
    </w:p>
    <w:p>
      <w:pPr>
        <w:spacing w:before="100" w:after="60"/>
        <w:keepNext/>
      </w:pPr>
      <w:r>
        <w:rPr>
          <w:rFonts w:ascii="Sarabun" w:hAnsi="Sarabun" w:cs="Sarabun" w:eastAsia="Sarabun"/>
          <w:b/>
          <w:i w:val="0"/>
          <w:color w:val="B59150"/>
          <w:sz w:val="16"/>
          <w:cs/>
        </w:rPr>
        <w:t>12 / ABOUT</w:t>
      </w:r>
    </w:p>
    <w:p>
      <w:pPr>
        <w:spacing w:after="240"/>
        <w:keepNext/>
      </w:pPr>
      <w:r>
        <w:rPr>
          <w:rFonts w:ascii="Sarabun" w:hAnsi="Sarabun" w:cs="Sarabun" w:eastAsia="Sarabun"/>
          <w:b/>
          <w:i w:val="0"/>
          <w:color w:val="10233C"/>
          <w:sz w:val="46"/>
          <w:cs/>
        </w:rPr>
        <w:t>เกี่ยวกับ ThinkToFinish</w:t>
      </w:r>
    </w:p>
    <w:p>
      <w:pPr>
        <w:spacing w:before="0" w:after="200"/>
      </w:pPr>
      <w:r>
        <w:rPr>
          <w:rFonts w:ascii="Sarabun" w:hAnsi="Sarabun" w:cs="Sarabun" w:eastAsia="Sarabun"/>
          <w:b w:val="0"/>
          <w:i w:val="0"/>
          <w:color w:val="10233C"/>
          <w:sz w:val="22"/>
          <w:cs/>
        </w:rPr>
        <w:t>ThinkToFinish ช่วยให้องค์กรเริ่มใช้ AI จากโจทย์ธุรกิจจริง ไม่ใช่จากชื่อเครื่องมือ เราร่วมประเมินความพร้อม คัดเลือก use case วางขอบเขตข้อมูลและธรรมาภิบาล ออกแบบ pilot และวิธีวัดผล เพื่อให้ผู้บริหาร IT และทีมปฏิบัติการเห็นภาพเดียวกันและเดินงานต่อได้</w:t>
      </w:r>
    </w:p>
    <w:p>
      <w:pPr>
        <w:spacing w:before="0" w:after="240"/>
      </w:pPr>
      <w:r>
        <w:rPr>
          <w:rFonts w:ascii="Sarabun" w:hAnsi="Sarabun" w:cs="Sarabun" w:eastAsia="Sarabun"/>
          <w:b w:val="0"/>
          <w:i w:val="0"/>
          <w:color w:val="536071"/>
          <w:sz w:val="20"/>
          <w:cs/>
        </w:rPr>
        <w:t>แนวทางของเราเน้นการสร้างคุณค่าควบคู่กับความรับผิดชอบ: เริ่มเล็กในขอบเขตที่ชัด มีเจ้าของ มี human review และขยายเมื่อหลักฐานชี้ว่าคุ้มค่าและควบคุมความเสี่ยงได้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21"/>
      </w:tblGrid>
      <w:tr>
        <w:trPr>
          <w:cantSplit/>
        </w:trPr>
        <w:tc>
          <w:tcPr>
            <w:tcW w:type="dxa" w:w="9721"/>
            <w:shd w:fill="10233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Sarabun" w:hAnsi="Sarabun" w:cs="Sarabun" w:eastAsia="Sarabun"/>
                <w:b/>
                <w:i w:val="0"/>
                <w:color w:val="DEC491"/>
                <w:sz w:val="20"/>
                <w:cs/>
              </w:rPr>
              <w:t>เริ่มจากคำถามเดียว</w:t>
            </w:r>
          </w:p>
          <w:p>
            <w:pPr>
              <w:spacing w:after="0"/>
            </w:pPr>
            <w:r>
              <w:rPr>
                <w:rFonts w:ascii="Sarabun" w:hAnsi="Sarabun" w:cs="Sarabun" w:eastAsia="Sarabun"/>
                <w:b w:val="0"/>
                <w:i w:val="0"/>
                <w:color w:val="FFFFFF"/>
                <w:sz w:val="17"/>
                <w:cs/>
              </w:rPr>
              <w:t>งานอะไรควรดีขึ้น ใครเป็นเจ้าของ และเราจะรู้ได้อย่างไรว่าดีขึ้นจริง</w:t>
            </w:r>
          </w:p>
        </w:tc>
      </w:tr>
    </w:tbl>
    <w:p>
      <w:pPr>
        <w:spacing w:before="240" w:after="240"/>
      </w:pPr>
      <w:r>
        <w:rPr>
          <w:rFonts w:ascii="Sarabun" w:hAnsi="Sarabun" w:cs="Sarabun" w:eastAsia="Sarabun"/>
          <w:b/>
          <w:i w:val="0"/>
          <w:color w:val="10233C"/>
          <w:sz w:val="18"/>
          <w:cs/>
        </w:rPr>
        <w:t>ThinkToFinish Co., Ltd.  •  thinktofinish.com  •  chawit@thinktofinish.com</w:t>
      </w:r>
    </w:p>
    <w:p>
      <w:pPr>
        <w:spacing w:before="180" w:after="80"/>
        <w:keepNext/>
      </w:pPr>
      <w:r>
        <w:rPr>
          <w:rFonts w:ascii="Sarabun" w:hAnsi="Sarabun" w:cs="Sarabun" w:eastAsia="Sarabun"/>
          <w:b/>
          <w:i w:val="0"/>
          <w:color w:val="10233C"/>
          <w:sz w:val="24"/>
          <w:cs/>
        </w:rPr>
        <w:t>ที่มาและแหล่งอ้างอิง</w:t>
      </w:r>
    </w:p>
    <w:p>
      <w:pPr>
        <w:pStyle w:val="ListBullet"/>
        <w:spacing w:after="60"/>
        <w:ind w:left="331" w:hanging="202"/>
      </w:pPr>
      <w:hyperlink r:id="rId12">
        <w:r>
          <w:rPr>
            <w:rFonts w:ascii="Sarabun" w:hAnsi="Sarabun" w:cs="Sarabun"/>
            <w:color w:val="B59150"/>
            <w:u w:val="single"/>
          </w:rPr>
          <w:t>Fisher Phillips — Acceptable Use of Generative AI Tools [Sample Policy]</w:t>
        </w:r>
      </w:hyperlink>
    </w:p>
    <w:p>
      <w:pPr>
        <w:pStyle w:val="ListBullet"/>
        <w:spacing w:after="60"/>
        <w:ind w:left="331" w:hanging="202"/>
      </w:pPr>
      <w:hyperlink r:id="rId13">
        <w:r>
          <w:rPr>
            <w:rFonts w:ascii="Sarabun" w:hAnsi="Sarabun" w:cs="Sarabun"/>
            <w:color w:val="B59150"/>
            <w:u w:val="single"/>
          </w:rPr>
          <w:t>ETDA — แนวทางการประยุกต์ใช้ Generative AI อย่างมีธรรมาภิบาลสำหรับองค์กร</w:t>
        </w:r>
      </w:hyperlink>
    </w:p>
    <w:p>
      <w:pPr>
        <w:pStyle w:val="ListBullet"/>
        <w:spacing w:after="60"/>
        <w:ind w:left="331" w:hanging="202"/>
      </w:pPr>
      <w:hyperlink r:id="rId14">
        <w:r>
          <w:rPr>
            <w:rFonts w:ascii="Sarabun" w:hAnsi="Sarabun" w:cs="Sarabun"/>
            <w:color w:val="B59150"/>
            <w:u w:val="single"/>
          </w:rPr>
          <w:t>พระราชบัญญัติคุ้มครองข้อมูลส่วนบุคคล พ.ศ. 2562</w:t>
        </w:r>
      </w:hyperlink>
    </w:p>
    <w:p>
      <w:pPr>
        <w:pStyle w:val="ListBullet"/>
        <w:spacing w:after="60"/>
        <w:ind w:left="331" w:hanging="202"/>
      </w:pPr>
      <w:hyperlink r:id="rId15">
        <w:r>
          <w:rPr>
            <w:rFonts w:ascii="Sarabun" w:hAnsi="Sarabun" w:cs="Sarabun"/>
            <w:color w:val="B59150"/>
            <w:u w:val="single"/>
          </w:rPr>
          <w:t>กรมทรัพย์สินทางปัญญา — พระราชบัญญัติลิขสิทธิ์ พ.ศ. 2537 และที่แก้ไขเพิ่มเติม</w:t>
        </w:r>
      </w:hyperlink>
    </w:p>
    <w:p>
      <w:pPr>
        <w:pStyle w:val="ListBullet"/>
        <w:spacing w:after="60"/>
        <w:ind w:left="331" w:hanging="202"/>
      </w:pPr>
      <w:hyperlink r:id="rId16">
        <w:r>
          <w:rPr>
            <w:rFonts w:ascii="Sarabun" w:hAnsi="Sarabun" w:cs="Sarabun"/>
            <w:color w:val="B59150"/>
            <w:u w:val="single"/>
          </w:rPr>
          <w:t>กรมทรัพย์สินทางปัญญา — พระราชบัญญัติความลับทางการค้า พ.ศ. 2545</w:t>
        </w:r>
      </w:hyperlink>
    </w:p>
    <w:p>
      <w:pPr>
        <w:pStyle w:val="ListBullet"/>
        <w:spacing w:after="60"/>
        <w:ind w:left="331" w:hanging="202"/>
      </w:pPr>
      <w:hyperlink r:id="rId17">
        <w:r>
          <w:rPr>
            <w:rFonts w:ascii="Sarabun" w:hAnsi="Sarabun" w:cs="Sarabun"/>
            <w:color w:val="B59150"/>
            <w:u w:val="single"/>
          </w:rPr>
          <w:t>กระทรวงแรงงาน — กฎหมายคุ้มครองแรงงาน</w:t>
        </w:r>
      </w:hyperlink>
    </w:p>
    <w:p>
      <w:pPr>
        <w:spacing w:before="160" w:after="0"/>
      </w:pPr>
      <w:r>
        <w:rPr>
          <w:rFonts w:ascii="Sarabun" w:hAnsi="Sarabun" w:cs="Sarabun" w:eastAsia="Sarabun"/>
          <w:b w:val="0"/>
          <w:i/>
          <w:color w:val="536071"/>
          <w:sz w:val="16"/>
          <w:cs/>
        </w:rPr>
        <w:t>เข้าถึงแหล่งอ้างอิงล่าสุดเมื่อ 17 กันยายน 2569 • ควรตรวจสอบกฎหมาย ข้อกำกับ และเงื่อนไขผู้ให้บริการอีกครั้งก่อนประกาศใช้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37" w:right="1094" w:bottom="893" w:left="1094" w:header="403" w:footer="40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Sarabun" w:hAnsi="Sarabun" w:cs="Sarabun" w:eastAsia="Sarabun"/>
        <w:b w:val="0"/>
        <w:i w:val="0"/>
        <w:color w:val="536071"/>
        <w:sz w:val="15"/>
        <w:cs/>
      </w:rPr>
      <w:t xml:space="preserve">THINKTOFINISH  •  </w:t>
    </w:r>
    <w:fldChar w:fldCharType="begin"/>
    <w:instrText xml:space="preserve"> PAGE </w:instrText>
    <w:fldChar w:fldCharType="end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05"/>
      <w:gridCol w:w="9115"/>
    </w:tblGrid>
    <w:tr>
      <w:tc>
        <w:tcPr>
          <w:tcW w:type="dxa" w:w="4860"/>
        </w:tcPr>
        <w:p>
          <w:r>
            <w:drawing>
              <wp:inline xmlns:a="http://schemas.openxmlformats.org/drawingml/2006/main" xmlns:pic="http://schemas.openxmlformats.org/drawingml/2006/picture">
                <wp:extent cx="246888" cy="24688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thinktofinish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888" cy="2468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60"/>
        </w:tcPr>
        <w:p>
          <w:pPr>
            <w:jc w:val="left"/>
          </w:pPr>
          <w:r>
            <w:rPr>
              <w:rFonts w:ascii="Sarabun" w:hAnsi="Sarabun" w:cs="Sarabun" w:eastAsia="Sarabun"/>
              <w:b/>
              <w:i w:val="0"/>
              <w:color w:val="10233C"/>
              <w:sz w:val="16"/>
              <w:cs/>
            </w:rPr>
            <w:t>นโยบายการใช้ Generative AI อย่างรับผิดชอบ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4" w:lineRule="auto" w:after="80"/>
    </w:pPr>
    <w:rPr>
      <w:rFonts w:ascii="Sarabun" w:hAnsi="Sarabun" w:cs="Sarabun" w:eastAsia="Sarabun"/>
      <w:color w:val="536071"/>
      <w:sz w:val="18"/>
      <w:cs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fisherphillips.com/a/web/gjKyaHVbk96CZxaQe1Gv6E/ai-policy.pdf" TargetMode="External"/><Relationship Id="rId13" Type="http://schemas.openxmlformats.org/officeDocument/2006/relationships/hyperlink" Target="https://www.etda.or.th/getattachment/6050a4b7-defd-4dba-8cbc-ff6a444a3d08/20240910_GenerativeAIGovernanceGuideline_Vol1_AIGC.pdf.aspx" TargetMode="External"/><Relationship Id="rId14" Type="http://schemas.openxmlformats.org/officeDocument/2006/relationships/hyperlink" Target="https://www.ratchakitcha.soc.go.th/DATA/PDF/2562/A/069/T_0052.PDF" TargetMode="External"/><Relationship Id="rId15" Type="http://schemas.openxmlformats.org/officeDocument/2006/relationships/hyperlink" Target="https://www.ipthailand.go.th/images/3534/2565/Copyright/Copyright_Act_TH_2537-2565.pdf" TargetMode="External"/><Relationship Id="rId16" Type="http://schemas.openxmlformats.org/officeDocument/2006/relationships/hyperlink" Target="https://www.ipthailand.go.th/th/dip-law-2/item/%E0%B8%9E%E0%B8%A3%E0%B8%B0%E0%B8%A3%E0%B8%B2%E0%B8%8A%E0%B8%9A%E0%B8%B1%E0%B8%8D%E0%B8%8D%E0%B8%B1%E0%B8%95%E0%B8%B4%E0%B8%84%E0%B8%A7%E0%B8%B2%E0%B8%A1%E0%B8%A5%E0%B8%B1%E0%B8%9A%E0%B8%97%E0%B8%B2%E0%B8%87%E0%B8%81%E0%B8%B2%E0%B8%A3%E0%B8%84%E0%B9%89%E0%B8%B2-%E0%B8%89%E0%B8%9A%E0%B8%B1%E0%B8%9A%E0%B8%97%E0%B8%B5%E0%B9%88-%E0%B9%92-%E0%B8%9E-%E0%B8%A8-%E0%B9%92%E0%B9%95%E0%B9%95%E0%B9%98.html" TargetMode="External"/><Relationship Id="rId17" Type="http://schemas.openxmlformats.org/officeDocument/2006/relationships/hyperlink" Target="https://www.mol.go.th/laws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นโยบายการใช้ Generative AI อย่างรับผิดชอบ — แม่แบบสำหรับองค์กรในประเทศไทย</dc:title>
  <dc:subject>เอกสารเผยแพร่ฟรีโดย ThinkToFinish</dc:subject>
  <dc:creator>ThinkToFinish Co., Ltd.</dc:creator>
  <cp:keywords>Generative AI, AI Policy, Thailand, PDPA, AI Governance, ThinkToFinish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